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94CB1" w14:textId="65DB59DE" w:rsidR="00440266" w:rsidRDefault="00440266" w:rsidP="00440266">
      <w:pPr>
        <w:pStyle w:val="isselectedend"/>
        <w:spacing w:line="360" w:lineRule="auto"/>
        <w:jc w:val="center"/>
        <w:rPr>
          <w:b/>
          <w:bCs/>
          <w:color w:val="0F243E" w:themeColor="text2" w:themeShade="80"/>
          <w:sz w:val="36"/>
          <w:szCs w:val="36"/>
        </w:rPr>
      </w:pPr>
      <w:r w:rsidRPr="00DF16BF">
        <w:rPr>
          <w:noProof/>
          <w:sz w:val="20"/>
          <w:szCs w:val="20"/>
        </w:rPr>
        <w:drawing>
          <wp:inline distT="0" distB="0" distL="0" distR="0" wp14:anchorId="5A3B8584" wp14:editId="64B64D4F">
            <wp:extent cx="6141085" cy="1181100"/>
            <wp:effectExtent l="0" t="0" r="0" b="0"/>
            <wp:docPr id="1" name="Picture 1" descr="Salale University | Officia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ale University | Official Webs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6470" cy="1191752"/>
                    </a:xfrm>
                    <a:prstGeom prst="rect">
                      <a:avLst/>
                    </a:prstGeom>
                    <a:noFill/>
                    <a:ln>
                      <a:noFill/>
                    </a:ln>
                  </pic:spPr>
                </pic:pic>
              </a:graphicData>
            </a:graphic>
          </wp:inline>
        </w:drawing>
      </w:r>
    </w:p>
    <w:p w14:paraId="2861449F" w14:textId="77777777" w:rsidR="00440266" w:rsidRDefault="00440266" w:rsidP="00440266">
      <w:pPr>
        <w:pStyle w:val="isselectedend"/>
        <w:spacing w:line="360" w:lineRule="auto"/>
        <w:jc w:val="center"/>
        <w:rPr>
          <w:b/>
          <w:bCs/>
          <w:color w:val="0F243E" w:themeColor="text2" w:themeShade="80"/>
          <w:sz w:val="36"/>
          <w:szCs w:val="36"/>
        </w:rPr>
      </w:pPr>
    </w:p>
    <w:p w14:paraId="04A7C81E" w14:textId="062E9A33" w:rsidR="00440266" w:rsidRPr="00440266" w:rsidRDefault="00440266" w:rsidP="00440266">
      <w:pPr>
        <w:pStyle w:val="isselectedend"/>
        <w:spacing w:line="480" w:lineRule="auto"/>
        <w:jc w:val="center"/>
        <w:rPr>
          <w:b/>
          <w:bCs/>
          <w:color w:val="0F243E" w:themeColor="text2" w:themeShade="80"/>
          <w:sz w:val="40"/>
          <w:szCs w:val="40"/>
        </w:rPr>
      </w:pPr>
      <w:r w:rsidRPr="00440266">
        <w:rPr>
          <w:b/>
          <w:bCs/>
          <w:color w:val="0F243E" w:themeColor="text2" w:themeShade="80"/>
          <w:sz w:val="40"/>
          <w:szCs w:val="40"/>
        </w:rPr>
        <w:t>Community-Based Health Insurance and Capitation Payment Reform Progress Report 2025/26 G.C</w:t>
      </w:r>
    </w:p>
    <w:p w14:paraId="1A652D6E" w14:textId="77777777" w:rsidR="00440266" w:rsidRPr="00440266" w:rsidRDefault="00440266" w:rsidP="00440266">
      <w:pPr>
        <w:pStyle w:val="isselectedend"/>
        <w:spacing w:line="480" w:lineRule="auto"/>
        <w:ind w:left="4320"/>
        <w:jc w:val="center"/>
        <w:rPr>
          <w:b/>
          <w:bCs/>
          <w:color w:val="0F243E" w:themeColor="text2" w:themeShade="80"/>
          <w:sz w:val="36"/>
          <w:szCs w:val="36"/>
        </w:rPr>
      </w:pPr>
    </w:p>
    <w:p w14:paraId="4BED193C" w14:textId="77777777" w:rsidR="00440266" w:rsidRDefault="00440266" w:rsidP="00440266">
      <w:pPr>
        <w:pStyle w:val="isselectedend"/>
        <w:spacing w:line="480" w:lineRule="auto"/>
        <w:ind w:left="4320"/>
        <w:jc w:val="center"/>
        <w:rPr>
          <w:b/>
          <w:bCs/>
          <w:color w:val="0F243E" w:themeColor="text2" w:themeShade="80"/>
          <w:sz w:val="32"/>
          <w:szCs w:val="32"/>
        </w:rPr>
      </w:pPr>
    </w:p>
    <w:p w14:paraId="3A03E1DF" w14:textId="77777777" w:rsidR="00440266" w:rsidRDefault="00440266" w:rsidP="00440266">
      <w:pPr>
        <w:pStyle w:val="isselectedend"/>
        <w:spacing w:line="480" w:lineRule="auto"/>
        <w:ind w:left="5760" w:firstLine="720"/>
        <w:jc w:val="center"/>
        <w:rPr>
          <w:b/>
          <w:bCs/>
          <w:color w:val="0F243E" w:themeColor="text2" w:themeShade="80"/>
          <w:sz w:val="32"/>
          <w:szCs w:val="32"/>
        </w:rPr>
      </w:pPr>
    </w:p>
    <w:p w14:paraId="2F0178AF" w14:textId="77777777" w:rsidR="00440266" w:rsidRDefault="00440266" w:rsidP="00440266">
      <w:pPr>
        <w:pStyle w:val="isselectedend"/>
        <w:spacing w:line="480" w:lineRule="auto"/>
        <w:rPr>
          <w:b/>
          <w:bCs/>
          <w:color w:val="0F243E" w:themeColor="text2" w:themeShade="80"/>
          <w:sz w:val="32"/>
          <w:szCs w:val="32"/>
        </w:rPr>
      </w:pPr>
    </w:p>
    <w:p w14:paraId="41E3AE56" w14:textId="4C9C9B5F" w:rsidR="00440266" w:rsidRDefault="00440266" w:rsidP="00440266">
      <w:pPr>
        <w:pStyle w:val="isselectedend"/>
        <w:spacing w:line="480" w:lineRule="auto"/>
        <w:ind w:left="5760" w:firstLine="720"/>
        <w:jc w:val="center"/>
        <w:rPr>
          <w:b/>
          <w:bCs/>
          <w:color w:val="0F243E" w:themeColor="text2" w:themeShade="80"/>
          <w:sz w:val="32"/>
          <w:szCs w:val="32"/>
        </w:rPr>
      </w:pPr>
      <w:r w:rsidRPr="00440266">
        <w:rPr>
          <w:b/>
          <w:bCs/>
          <w:color w:val="0F243E" w:themeColor="text2" w:themeShade="80"/>
          <w:sz w:val="32"/>
          <w:szCs w:val="32"/>
        </w:rPr>
        <w:t>Finfinnee, Ethiopia</w:t>
      </w:r>
    </w:p>
    <w:p w14:paraId="4F4E54E4" w14:textId="0E3AF0A5" w:rsidR="00440266" w:rsidRDefault="00440266" w:rsidP="00440266">
      <w:pPr>
        <w:pStyle w:val="isselectedend"/>
        <w:spacing w:line="480" w:lineRule="auto"/>
        <w:ind w:left="5760" w:firstLine="720"/>
        <w:jc w:val="center"/>
        <w:rPr>
          <w:b/>
          <w:bCs/>
          <w:color w:val="0F243E" w:themeColor="text2" w:themeShade="80"/>
          <w:sz w:val="32"/>
          <w:szCs w:val="32"/>
        </w:rPr>
      </w:pPr>
      <w:r>
        <w:rPr>
          <w:b/>
          <w:bCs/>
          <w:color w:val="0F243E" w:themeColor="text2" w:themeShade="80"/>
          <w:sz w:val="32"/>
          <w:szCs w:val="32"/>
        </w:rPr>
        <w:t>May 2026</w:t>
      </w:r>
    </w:p>
    <w:p w14:paraId="4AA606E4" w14:textId="77777777" w:rsidR="00DD2AC2" w:rsidRDefault="00DD2AC2" w:rsidP="00DD2AC2">
      <w:pPr>
        <w:spacing w:before="100" w:beforeAutospacing="1" w:after="100" w:afterAutospacing="1" w:line="360" w:lineRule="auto"/>
        <w:jc w:val="both"/>
        <w:rPr>
          <w:rFonts w:eastAsia="Times New Roman"/>
          <w:color w:val="auto"/>
          <w:kern w:val="0"/>
          <w14:ligatures w14:val="none"/>
        </w:rPr>
      </w:pPr>
    </w:p>
    <w:p w14:paraId="7EBD3A7F" w14:textId="77777777" w:rsidR="00AF492A" w:rsidRPr="00DD2AC2" w:rsidRDefault="00AF492A" w:rsidP="00DD2AC2">
      <w:pPr>
        <w:spacing w:before="100" w:beforeAutospacing="1" w:after="100" w:afterAutospacing="1" w:line="360" w:lineRule="auto"/>
        <w:jc w:val="both"/>
        <w:rPr>
          <w:rFonts w:eastAsia="Times New Roman"/>
          <w:color w:val="auto"/>
          <w:kern w:val="0"/>
          <w14:ligatures w14:val="none"/>
        </w:rPr>
      </w:pPr>
    </w:p>
    <w:p w14:paraId="486607E4" w14:textId="4BD184A1" w:rsidR="00296320" w:rsidRPr="00E063D9" w:rsidRDefault="00296320" w:rsidP="00296320">
      <w:pPr>
        <w:pStyle w:val="ListParagraph"/>
        <w:numPr>
          <w:ilvl w:val="0"/>
          <w:numId w:val="1"/>
        </w:numPr>
        <w:spacing w:line="360" w:lineRule="auto"/>
        <w:jc w:val="both"/>
        <w:rPr>
          <w:rFonts w:eastAsia="Times New Roman"/>
          <w:b/>
          <w:bCs/>
          <w:color w:val="auto"/>
          <w:kern w:val="36"/>
          <w:sz w:val="32"/>
          <w:szCs w:val="32"/>
          <w14:ligatures w14:val="none"/>
        </w:rPr>
      </w:pPr>
      <w:r w:rsidRPr="00E063D9">
        <w:rPr>
          <w:rFonts w:eastAsia="Times New Roman"/>
          <w:b/>
          <w:bCs/>
          <w:color w:val="auto"/>
          <w:kern w:val="36"/>
          <w:sz w:val="32"/>
          <w:szCs w:val="32"/>
          <w14:ligatures w14:val="none"/>
        </w:rPr>
        <w:lastRenderedPageBreak/>
        <w:t xml:space="preserve">Background </w:t>
      </w:r>
    </w:p>
    <w:p w14:paraId="38A858F5" w14:textId="5B7DF424" w:rsidR="00296320" w:rsidRPr="00E063D9" w:rsidRDefault="00296320" w:rsidP="00296320">
      <w:pPr>
        <w:pStyle w:val="ListParagraph"/>
        <w:numPr>
          <w:ilvl w:val="1"/>
          <w:numId w:val="1"/>
        </w:numPr>
        <w:spacing w:line="360" w:lineRule="auto"/>
        <w:jc w:val="both"/>
        <w:rPr>
          <w:sz w:val="22"/>
          <w:szCs w:val="22"/>
        </w:rPr>
      </w:pPr>
      <w:r w:rsidRPr="00E063D9">
        <w:rPr>
          <w:rFonts w:eastAsia="Times New Roman"/>
          <w:color w:val="auto"/>
          <w:kern w:val="0"/>
          <w14:ligatures w14:val="none"/>
        </w:rPr>
        <w:t xml:space="preserve"> Health Financing Context in Oromia Region</w:t>
      </w:r>
    </w:p>
    <w:p w14:paraId="2D698ACB" w14:textId="77777777" w:rsidR="00296320" w:rsidRPr="00E063D9" w:rsidRDefault="00296320" w:rsidP="00296320">
      <w:pPr>
        <w:spacing w:before="100" w:beforeAutospacing="1" w:after="100" w:afterAutospacing="1" w:line="360" w:lineRule="auto"/>
        <w:jc w:val="both"/>
        <w:rPr>
          <w:rFonts w:eastAsia="Times New Roman"/>
          <w:color w:val="auto"/>
          <w:kern w:val="0"/>
          <w14:ligatures w14:val="none"/>
        </w:rPr>
      </w:pPr>
      <w:r w:rsidRPr="00E063D9">
        <w:rPr>
          <w:rFonts w:eastAsia="Times New Roman"/>
          <w:color w:val="auto"/>
          <w:kern w:val="0"/>
          <w14:ligatures w14:val="none"/>
        </w:rPr>
        <w:t>The Oromia Region has an estimated population of 44.5 million, with approximately 6.3 million households enrolled in the Community-Based Health Insurance (CBHI) program across 294 rural woredas and 52 towns. Health services are delivered through more than 14,000 public and private health facilities. In alignment with the Health Sector Transformation Plan II (HSTP-II), Oromia has prioritized quality and equity of care, information revolution, competent workforce development, sustainable health financing, and effective leadership and governance.</w:t>
      </w:r>
    </w:p>
    <w:p w14:paraId="44FE54C7" w14:textId="6FA4B740" w:rsidR="00296320" w:rsidRPr="00E063D9" w:rsidRDefault="00DF16BF" w:rsidP="00296320">
      <w:pPr>
        <w:spacing w:line="360" w:lineRule="auto"/>
        <w:ind w:firstLine="720"/>
        <w:jc w:val="both"/>
        <w:rPr>
          <w:rFonts w:eastAsia="Times New Roman"/>
          <w:color w:val="auto"/>
          <w:kern w:val="0"/>
          <w14:ligatures w14:val="none"/>
        </w:rPr>
      </w:pPr>
      <w:r w:rsidRPr="00E063D9">
        <w:rPr>
          <w:rFonts w:eastAsia="Times New Roman"/>
          <w:color w:val="auto"/>
          <w:kern w:val="0"/>
          <w14:ligatures w14:val="none"/>
        </w:rPr>
        <w:t>2.</w:t>
      </w:r>
      <w:r>
        <w:rPr>
          <w:rFonts w:eastAsia="Times New Roman"/>
          <w:color w:val="auto"/>
          <w:kern w:val="0"/>
          <w14:ligatures w14:val="none"/>
        </w:rPr>
        <w:t xml:space="preserve">2 </w:t>
      </w:r>
      <w:r w:rsidRPr="00E063D9">
        <w:rPr>
          <w:rFonts w:eastAsia="Times New Roman"/>
          <w:color w:val="auto"/>
          <w:kern w:val="0"/>
          <w14:ligatures w14:val="none"/>
        </w:rPr>
        <w:t>Overview</w:t>
      </w:r>
      <w:r w:rsidR="00296320" w:rsidRPr="00E063D9">
        <w:rPr>
          <w:rFonts w:eastAsia="Times New Roman"/>
          <w:color w:val="auto"/>
          <w:kern w:val="0"/>
          <w14:ligatures w14:val="none"/>
        </w:rPr>
        <w:t xml:space="preserve"> of Community-based Health Insurance</w:t>
      </w:r>
    </w:p>
    <w:p w14:paraId="6C07379F" w14:textId="77777777" w:rsidR="00296320" w:rsidRPr="00296320" w:rsidRDefault="00296320" w:rsidP="00296320">
      <w:pPr>
        <w:spacing w:before="100" w:beforeAutospacing="1" w:after="100" w:afterAutospacing="1" w:line="360" w:lineRule="auto"/>
        <w:jc w:val="both"/>
        <w:rPr>
          <w:rFonts w:eastAsia="Times New Roman"/>
          <w:color w:val="auto"/>
          <w:kern w:val="0"/>
          <w14:ligatures w14:val="none"/>
        </w:rPr>
      </w:pPr>
      <w:r w:rsidRPr="00296320">
        <w:rPr>
          <w:rFonts w:eastAsia="Times New Roman"/>
          <w:color w:val="auto"/>
          <w:kern w:val="0"/>
          <w14:ligatures w14:val="none"/>
        </w:rPr>
        <w:t>Health insurance is a prepayment financing mechanism that pools financial resources to protect households from financial hardship and improve access to essential health services. The major types include Community-Based Health Insurance (CBHI), Social Health Insurance (SHI), and Private Health Insurance (PHI). Health insurance is guided by principles of risk sharing, equity, solidarity, and participation, and performs three core financing functions: resource mobilization, risk pooling, and strategic purchasing.</w:t>
      </w:r>
    </w:p>
    <w:p w14:paraId="3AA613D3" w14:textId="52F5FD44" w:rsidR="00655DDD" w:rsidRDefault="00296320" w:rsidP="00655DDD">
      <w:pPr>
        <w:spacing w:before="100" w:beforeAutospacing="1" w:after="100" w:afterAutospacing="1" w:line="360" w:lineRule="auto"/>
        <w:jc w:val="both"/>
        <w:rPr>
          <w:rFonts w:eastAsia="Times New Roman"/>
          <w:color w:val="auto"/>
          <w:kern w:val="0"/>
          <w14:ligatures w14:val="none"/>
        </w:rPr>
      </w:pPr>
      <w:r w:rsidRPr="00296320">
        <w:rPr>
          <w:rFonts w:eastAsia="Times New Roman"/>
          <w:color w:val="auto"/>
          <w:kern w:val="0"/>
          <w14:ligatures w14:val="none"/>
        </w:rPr>
        <w:t xml:space="preserve">The Oromia CBHI program was initiated as a pilot in </w:t>
      </w:r>
      <w:r w:rsidRPr="00296320">
        <w:rPr>
          <w:rFonts w:eastAsia="Times New Roman"/>
          <w:b/>
          <w:bCs/>
          <w:color w:val="auto"/>
          <w:kern w:val="0"/>
          <w14:ligatures w14:val="none"/>
        </w:rPr>
        <w:t>2003 EFY (2011 GC)</w:t>
      </w:r>
      <w:r w:rsidRPr="00296320">
        <w:rPr>
          <w:rFonts w:eastAsia="Times New Roman"/>
          <w:color w:val="auto"/>
          <w:kern w:val="0"/>
          <w14:ligatures w14:val="none"/>
        </w:rPr>
        <w:t xml:space="preserve"> in four woredas and has expanded to </w:t>
      </w:r>
      <w:r w:rsidRPr="00296320">
        <w:rPr>
          <w:rFonts w:eastAsia="Times New Roman"/>
          <w:b/>
          <w:bCs/>
          <w:color w:val="auto"/>
          <w:kern w:val="0"/>
          <w14:ligatures w14:val="none"/>
        </w:rPr>
        <w:t>34</w:t>
      </w:r>
      <w:r w:rsidR="00DD2AC2">
        <w:rPr>
          <w:rFonts w:eastAsia="Times New Roman"/>
          <w:b/>
          <w:bCs/>
          <w:color w:val="auto"/>
          <w:kern w:val="0"/>
          <w14:ligatures w14:val="none"/>
        </w:rPr>
        <w:t>5</w:t>
      </w:r>
      <w:r w:rsidRPr="00296320">
        <w:rPr>
          <w:rFonts w:eastAsia="Times New Roman"/>
          <w:b/>
          <w:bCs/>
          <w:color w:val="auto"/>
          <w:kern w:val="0"/>
          <w14:ligatures w14:val="none"/>
        </w:rPr>
        <w:t xml:space="preserve"> schemes</w:t>
      </w:r>
      <w:r w:rsidRPr="00296320">
        <w:rPr>
          <w:rFonts w:eastAsia="Times New Roman"/>
          <w:color w:val="auto"/>
          <w:kern w:val="0"/>
          <w14:ligatures w14:val="none"/>
        </w:rPr>
        <w:t xml:space="preserve"> across the region. Evaluations have shown improvements in health service utilization, financial protection, health outcomes, </w:t>
      </w:r>
      <w:r w:rsidR="00AF492A" w:rsidRPr="00296320">
        <w:rPr>
          <w:rFonts w:eastAsia="Times New Roman"/>
          <w:color w:val="auto"/>
          <w:kern w:val="0"/>
          <w14:ligatures w14:val="none"/>
        </w:rPr>
        <w:t xml:space="preserve">and </w:t>
      </w:r>
      <w:r w:rsidRPr="00296320">
        <w:rPr>
          <w:rFonts w:eastAsia="Times New Roman"/>
          <w:color w:val="auto"/>
          <w:kern w:val="0"/>
          <w14:ligatures w14:val="none"/>
        </w:rPr>
        <w:t>facility revenue sustainability</w:t>
      </w:r>
      <w:r w:rsidR="00AF492A">
        <w:rPr>
          <w:rFonts w:eastAsia="Times New Roman"/>
          <w:color w:val="auto"/>
          <w:kern w:val="0"/>
          <w14:ligatures w14:val="none"/>
        </w:rPr>
        <w:t>.</w:t>
      </w:r>
    </w:p>
    <w:p w14:paraId="1DC6D05C" w14:textId="4DD43C01" w:rsidR="00296320" w:rsidRPr="00DF16BF" w:rsidRDefault="00296320" w:rsidP="00655DDD">
      <w:pPr>
        <w:pStyle w:val="ListParagraph"/>
        <w:numPr>
          <w:ilvl w:val="0"/>
          <w:numId w:val="1"/>
        </w:numPr>
        <w:spacing w:before="100" w:beforeAutospacing="1" w:after="100" w:afterAutospacing="1" w:line="360" w:lineRule="auto"/>
        <w:jc w:val="both"/>
        <w:rPr>
          <w:rFonts w:eastAsia="Times New Roman"/>
          <w:b/>
          <w:bCs/>
          <w:color w:val="auto"/>
          <w:kern w:val="0"/>
          <w:sz w:val="32"/>
          <w:szCs w:val="32"/>
          <w14:ligatures w14:val="none"/>
        </w:rPr>
      </w:pPr>
      <w:r w:rsidRPr="00DF16BF">
        <w:rPr>
          <w:b/>
          <w:bCs/>
          <w:sz w:val="32"/>
          <w:szCs w:val="32"/>
        </w:rPr>
        <w:t>Current Status and Achievements of CBHI Implementation</w:t>
      </w:r>
    </w:p>
    <w:p w14:paraId="52C66E41" w14:textId="4C12304A" w:rsidR="00AF492A" w:rsidRPr="00DD2AC2" w:rsidRDefault="00AF492A" w:rsidP="00AF492A">
      <w:pPr>
        <w:spacing w:before="100" w:beforeAutospacing="1" w:after="100" w:afterAutospacing="1" w:line="360" w:lineRule="auto"/>
        <w:jc w:val="both"/>
        <w:rPr>
          <w:rFonts w:eastAsia="Times New Roman"/>
          <w:color w:val="auto"/>
          <w:kern w:val="0"/>
          <w14:ligatures w14:val="none"/>
        </w:rPr>
      </w:pPr>
      <w:r w:rsidRPr="00DD2AC2">
        <w:rPr>
          <w:rFonts w:eastAsia="Times New Roman"/>
          <w:color w:val="auto"/>
          <w:kern w:val="0"/>
          <w14:ligatures w14:val="none"/>
        </w:rPr>
        <w:t xml:space="preserve">Household membership coverage increased from 25% in 2009 E.C. to 96% in 2017 E.C. During 2017 E.C., out of 6,542,310 targeted households, 6,280,618 households </w:t>
      </w:r>
      <w:r w:rsidRPr="00AF492A">
        <w:rPr>
          <w:rFonts w:eastAsia="Times New Roman"/>
          <w:b/>
          <w:bCs/>
          <w:color w:val="auto"/>
          <w:kern w:val="0"/>
          <w14:ligatures w14:val="none"/>
        </w:rPr>
        <w:t xml:space="preserve">(96%) </w:t>
      </w:r>
      <w:r w:rsidRPr="00DD2AC2">
        <w:rPr>
          <w:rFonts w:eastAsia="Times New Roman"/>
          <w:color w:val="auto"/>
          <w:kern w:val="0"/>
          <w14:ligatures w14:val="none"/>
        </w:rPr>
        <w:t xml:space="preserve">were enrolled. Of these, 4,581,306 (83%) were premium-paying members and 1,699,312 (27%) were </w:t>
      </w:r>
      <w:r>
        <w:rPr>
          <w:rFonts w:eastAsia="Times New Roman"/>
          <w:color w:val="auto"/>
          <w:kern w:val="0"/>
          <w14:ligatures w14:val="none"/>
        </w:rPr>
        <w:t xml:space="preserve">indigent </w:t>
      </w:r>
      <w:r w:rsidRPr="00DD2AC2">
        <w:rPr>
          <w:rFonts w:eastAsia="Times New Roman"/>
          <w:color w:val="auto"/>
          <w:kern w:val="0"/>
          <w14:ligatures w14:val="none"/>
        </w:rPr>
        <w:t>households. Membership renewal performance reached 96%, exceeding the planned 94% target.</w:t>
      </w:r>
    </w:p>
    <w:p w14:paraId="218084CD" w14:textId="55541110" w:rsidR="00AF492A" w:rsidRDefault="00AF492A" w:rsidP="00AF492A">
      <w:pPr>
        <w:spacing w:before="100" w:beforeAutospacing="1" w:after="100" w:afterAutospacing="1" w:line="360" w:lineRule="auto"/>
        <w:jc w:val="both"/>
        <w:rPr>
          <w:rFonts w:eastAsia="Times New Roman"/>
          <w:color w:val="auto"/>
          <w:kern w:val="0"/>
          <w14:ligatures w14:val="none"/>
        </w:rPr>
      </w:pPr>
      <w:r w:rsidRPr="00DD2AC2">
        <w:rPr>
          <w:rFonts w:eastAsia="Times New Roman"/>
          <w:color w:val="auto"/>
          <w:kern w:val="0"/>
          <w14:ligatures w14:val="none"/>
        </w:rPr>
        <w:t xml:space="preserve">In the same year, 7.4 billion ETB was collected from different sources as CBHI member contributions. </w:t>
      </w:r>
      <w:r w:rsidR="005F5968">
        <w:rPr>
          <w:rFonts w:eastAsia="Times New Roman"/>
          <w:color w:val="auto"/>
          <w:kern w:val="0"/>
          <w14:ligatures w14:val="none"/>
        </w:rPr>
        <w:t xml:space="preserve">About </w:t>
      </w:r>
      <w:r w:rsidRPr="00DD2AC2">
        <w:rPr>
          <w:rFonts w:eastAsia="Times New Roman"/>
          <w:color w:val="auto"/>
          <w:kern w:val="0"/>
          <w14:ligatures w14:val="none"/>
        </w:rPr>
        <w:t>21.6 million beneficiaries accessed healthcare services</w:t>
      </w:r>
      <w:r w:rsidR="005F5968">
        <w:rPr>
          <w:rFonts w:eastAsia="Times New Roman"/>
          <w:color w:val="auto"/>
          <w:kern w:val="0"/>
          <w14:ligatures w14:val="none"/>
        </w:rPr>
        <w:t xml:space="preserve"> from all health </w:t>
      </w:r>
      <w:r w:rsidR="005F5968">
        <w:rPr>
          <w:rFonts w:eastAsia="Times New Roman"/>
          <w:color w:val="auto"/>
          <w:kern w:val="0"/>
          <w14:ligatures w14:val="none"/>
        </w:rPr>
        <w:lastRenderedPageBreak/>
        <w:t>facilities which signs agreement</w:t>
      </w:r>
      <w:r w:rsidRPr="00DD2AC2">
        <w:rPr>
          <w:rFonts w:eastAsia="Times New Roman"/>
          <w:color w:val="auto"/>
          <w:kern w:val="0"/>
          <w14:ligatures w14:val="none"/>
        </w:rPr>
        <w:t xml:space="preserve">, and 2.9 billion ETB was reimbursed to contracted healthcare </w:t>
      </w:r>
      <w:r w:rsidR="005F5968">
        <w:rPr>
          <w:rFonts w:eastAsia="Times New Roman"/>
          <w:color w:val="auto"/>
          <w:kern w:val="0"/>
          <w14:ligatures w14:val="none"/>
        </w:rPr>
        <w:t>providers t</w:t>
      </w:r>
      <w:r w:rsidR="005F5968" w:rsidRPr="00DD2AC2">
        <w:rPr>
          <w:rFonts w:eastAsia="Times New Roman"/>
          <w:color w:val="auto"/>
          <w:kern w:val="0"/>
          <w14:ligatures w14:val="none"/>
        </w:rPr>
        <w:t>hrough the scheme</w:t>
      </w:r>
      <w:r w:rsidR="005F5968">
        <w:rPr>
          <w:rFonts w:eastAsia="Times New Roman"/>
          <w:color w:val="auto"/>
          <w:kern w:val="0"/>
          <w14:ligatures w14:val="none"/>
        </w:rPr>
        <w:t>.</w:t>
      </w:r>
    </w:p>
    <w:p w14:paraId="0753FB11" w14:textId="5E308BED" w:rsidR="00655DDD" w:rsidRPr="00006D6C" w:rsidRDefault="00AF492A" w:rsidP="00006D6C">
      <w:pPr>
        <w:spacing w:line="360" w:lineRule="auto"/>
        <w:jc w:val="both"/>
        <w:rPr>
          <w:rFonts w:eastAsia="Times New Roman"/>
          <w:color w:val="auto"/>
          <w:kern w:val="0"/>
          <w14:ligatures w14:val="none"/>
        </w:rPr>
      </w:pPr>
      <w:r w:rsidRPr="00DD2AC2">
        <w:rPr>
          <w:rFonts w:eastAsia="Times New Roman"/>
          <w:color w:val="auto"/>
          <w:kern w:val="0"/>
          <w14:ligatures w14:val="none"/>
        </w:rPr>
        <w:t xml:space="preserve">The capitation payment reform, introduced in 2021, has expanded to </w:t>
      </w:r>
      <w:r w:rsidRPr="00DD2AC2">
        <w:rPr>
          <w:rFonts w:eastAsia="Times New Roman"/>
          <w:b/>
          <w:bCs/>
          <w:color w:val="auto"/>
          <w:kern w:val="0"/>
          <w14:ligatures w14:val="none"/>
        </w:rPr>
        <w:t>341 health facilities</w:t>
      </w:r>
      <w:r w:rsidRPr="00DD2AC2">
        <w:rPr>
          <w:rFonts w:eastAsia="Times New Roman"/>
          <w:color w:val="auto"/>
          <w:kern w:val="0"/>
          <w14:ligatures w14:val="none"/>
        </w:rPr>
        <w:t xml:space="preserve"> and strengthened provider financing through evidence-based categorization, periodic rate adjustments, and performance-linked payments. The </w:t>
      </w:r>
      <w:r w:rsidRPr="00DD2AC2">
        <w:rPr>
          <w:rFonts w:eastAsia="Times New Roman"/>
          <w:b/>
          <w:bCs/>
          <w:color w:val="auto"/>
          <w:kern w:val="0"/>
          <w14:ligatures w14:val="none"/>
        </w:rPr>
        <w:t>5% performance-based payment mechanism</w:t>
      </w:r>
      <w:r w:rsidRPr="00DD2AC2">
        <w:rPr>
          <w:rFonts w:eastAsia="Times New Roman"/>
          <w:color w:val="auto"/>
          <w:kern w:val="0"/>
          <w14:ligatures w14:val="none"/>
        </w:rPr>
        <w:t xml:space="preserve"> links provider payments to quality, accountability, and efficient resource utilization. Continued reforms focus on strengthening strategic purchasing, digital monitoring, risk adjustment, and financial sustainability to advance Universal Health Coverage in Oromia Region.</w:t>
      </w:r>
    </w:p>
    <w:p w14:paraId="5AF1678E" w14:textId="013B32CE" w:rsidR="00296320" w:rsidRPr="00655DDD" w:rsidRDefault="00296320" w:rsidP="00655DDD">
      <w:pPr>
        <w:pStyle w:val="ListParagraph"/>
        <w:numPr>
          <w:ilvl w:val="0"/>
          <w:numId w:val="1"/>
        </w:numPr>
        <w:rPr>
          <w:b/>
          <w:bCs/>
          <w:sz w:val="32"/>
          <w:szCs w:val="32"/>
        </w:rPr>
      </w:pPr>
      <w:r w:rsidRPr="00655DDD">
        <w:rPr>
          <w:b/>
          <w:bCs/>
          <w:sz w:val="32"/>
          <w:szCs w:val="32"/>
        </w:rPr>
        <w:t xml:space="preserve"> Strategic Purchasing and Capitation Payment Reform</w:t>
      </w:r>
    </w:p>
    <w:p w14:paraId="7A1EAAB1" w14:textId="77777777" w:rsidR="00296320" w:rsidRPr="00296320" w:rsidRDefault="00296320" w:rsidP="00296320">
      <w:pPr>
        <w:spacing w:before="100" w:beforeAutospacing="1" w:after="100" w:afterAutospacing="1" w:line="360" w:lineRule="auto"/>
        <w:jc w:val="both"/>
        <w:rPr>
          <w:rFonts w:eastAsia="Times New Roman"/>
          <w:color w:val="auto"/>
          <w:kern w:val="0"/>
          <w14:ligatures w14:val="none"/>
        </w:rPr>
      </w:pPr>
      <w:r w:rsidRPr="00296320">
        <w:rPr>
          <w:rFonts w:eastAsia="Times New Roman"/>
          <w:color w:val="auto"/>
          <w:kern w:val="0"/>
          <w14:ligatures w14:val="none"/>
        </w:rPr>
        <w:t xml:space="preserve">Strategic purchasing enables health purchasers to make informed decisions on </w:t>
      </w:r>
      <w:r w:rsidRPr="00296320">
        <w:rPr>
          <w:rFonts w:eastAsia="Times New Roman"/>
          <w:b/>
          <w:bCs/>
          <w:color w:val="auto"/>
          <w:kern w:val="0"/>
          <w14:ligatures w14:val="none"/>
        </w:rPr>
        <w:t>what services to purchase, from whom, for whom, and how providers should be paid</w:t>
      </w:r>
      <w:r w:rsidRPr="00296320">
        <w:rPr>
          <w:rFonts w:eastAsia="Times New Roman"/>
          <w:color w:val="auto"/>
          <w:kern w:val="0"/>
          <w14:ligatures w14:val="none"/>
        </w:rPr>
        <w:t xml:space="preserve"> to improve efficiency, quality, equity, and financial protection.</w:t>
      </w:r>
    </w:p>
    <w:p w14:paraId="3D34178E" w14:textId="77777777" w:rsidR="00006D6C" w:rsidRDefault="00296320" w:rsidP="00006D6C">
      <w:pPr>
        <w:spacing w:before="100" w:beforeAutospacing="1" w:after="100" w:afterAutospacing="1" w:line="360" w:lineRule="auto"/>
        <w:jc w:val="both"/>
        <w:rPr>
          <w:rFonts w:eastAsia="Times New Roman"/>
          <w:color w:val="auto"/>
          <w:kern w:val="0"/>
          <w14:ligatures w14:val="none"/>
        </w:rPr>
      </w:pPr>
      <w:r w:rsidRPr="00296320">
        <w:rPr>
          <w:rFonts w:eastAsia="Times New Roman"/>
          <w:color w:val="auto"/>
          <w:kern w:val="0"/>
          <w14:ligatures w14:val="none"/>
        </w:rPr>
        <w:t>In Oromia, capitation payment was introduced as a strategic purchasing mechanism to provide prospective payments to health facilities based on population coverage and facility performance. The system aims to strengthen primary health care, encourage efficient resource utilization, improve accountability, and promote preventive and cost-effective service delivery.</w:t>
      </w:r>
    </w:p>
    <w:p w14:paraId="6C45838A" w14:textId="72ABA05D" w:rsidR="00296320" w:rsidRPr="00296320" w:rsidRDefault="00296320" w:rsidP="00006D6C">
      <w:pPr>
        <w:spacing w:before="100" w:beforeAutospacing="1" w:after="100" w:afterAutospacing="1" w:line="360" w:lineRule="auto"/>
        <w:jc w:val="both"/>
        <w:rPr>
          <w:rFonts w:eastAsia="Times New Roman"/>
          <w:color w:val="auto"/>
          <w:kern w:val="0"/>
          <w14:ligatures w14:val="none"/>
        </w:rPr>
      </w:pPr>
      <w:r w:rsidRPr="00296320">
        <w:rPr>
          <w:rFonts w:eastAsia="Times New Roman"/>
          <w:color w:val="auto"/>
          <w:kern w:val="0"/>
          <w14:ligatures w14:val="none"/>
        </w:rPr>
        <w:t xml:space="preserve">The </w:t>
      </w:r>
      <w:r w:rsidRPr="00296320">
        <w:rPr>
          <w:rFonts w:eastAsia="Times New Roman"/>
          <w:b/>
          <w:bCs/>
          <w:color w:val="auto"/>
          <w:kern w:val="0"/>
          <w14:ligatures w14:val="none"/>
        </w:rPr>
        <w:t>Oromia Capitation Program</w:t>
      </w:r>
      <w:r w:rsidRPr="00296320">
        <w:rPr>
          <w:rFonts w:eastAsia="Times New Roman"/>
          <w:color w:val="auto"/>
          <w:kern w:val="0"/>
          <w14:ligatures w14:val="none"/>
        </w:rPr>
        <w:t xml:space="preserve"> began in 2021 as a pilot in a total of five health centers, 3 health centers in Sodo Dache rural woreda and two in Sendafa town. By 2023, it had expanded to 70 health centers in eight zones and four towns, including Jimma, Buno Bedelee, West Arsi, Arsi, East Shewa, West Hararge, South West Shewa, and North Shewa. The towns involved were Shaggar City, Shashamane, Jimma, and Sendafa. Health centers were categorized based on service utilization rates and comprehensive clinical audit performance. Shaggar City started piloting capitation in July 2023 with 25 health centers.</w:t>
      </w:r>
    </w:p>
    <w:p w14:paraId="3B781D57" w14:textId="1169F927" w:rsidR="00006D6C" w:rsidRDefault="00296320" w:rsidP="00006D6C">
      <w:pPr>
        <w:spacing w:line="360" w:lineRule="auto"/>
        <w:jc w:val="both"/>
        <w:rPr>
          <w:rFonts w:eastAsia="Times New Roman"/>
          <w:color w:val="auto"/>
          <w:kern w:val="0"/>
          <w14:ligatures w14:val="none"/>
        </w:rPr>
      </w:pPr>
      <w:r w:rsidRPr="00296320">
        <w:rPr>
          <w:rFonts w:eastAsia="Calibri"/>
        </w:rPr>
        <w:t xml:space="preserve">Currently, the </w:t>
      </w:r>
      <w:r w:rsidRPr="00E063D9">
        <w:rPr>
          <w:rFonts w:eastAsia="Calibri"/>
          <w:b/>
          <w:bCs/>
        </w:rPr>
        <w:t>capitation payment system</w:t>
      </w:r>
      <w:r w:rsidRPr="00296320">
        <w:rPr>
          <w:rFonts w:eastAsia="Calibri"/>
        </w:rPr>
        <w:t xml:space="preserve"> under the Community-Based Health Insurance (CBHI) program has expanded to include </w:t>
      </w:r>
      <w:r w:rsidRPr="00296320">
        <w:rPr>
          <w:rFonts w:eastAsia="Calibri"/>
          <w:b/>
          <w:bCs/>
        </w:rPr>
        <w:t>341 health facilities</w:t>
      </w:r>
      <w:r w:rsidRPr="00296320">
        <w:rPr>
          <w:rFonts w:eastAsia="Calibri"/>
        </w:rPr>
        <w:t xml:space="preserve"> across </w:t>
      </w:r>
      <w:r w:rsidRPr="00296320">
        <w:rPr>
          <w:rFonts w:eastAsia="Calibri"/>
          <w:b/>
          <w:bCs/>
        </w:rPr>
        <w:t>13 zones and six city administrations/towns</w:t>
      </w:r>
      <w:r w:rsidRPr="00296320">
        <w:rPr>
          <w:rFonts w:eastAsia="Calibri"/>
        </w:rPr>
        <w:t xml:space="preserve"> in the Oromia Region. </w:t>
      </w:r>
    </w:p>
    <w:p w14:paraId="58440F4F" w14:textId="77777777" w:rsidR="00006D6C" w:rsidRPr="002B4F5D" w:rsidRDefault="00006D6C" w:rsidP="00006D6C">
      <w:pPr>
        <w:spacing w:line="360" w:lineRule="auto"/>
        <w:jc w:val="both"/>
        <w:rPr>
          <w:rFonts w:eastAsia="Calibri"/>
        </w:rPr>
      </w:pPr>
      <w:r w:rsidRPr="00006D6C">
        <w:rPr>
          <w:rFonts w:eastAsia="Calibri"/>
        </w:rPr>
        <w:t xml:space="preserve">The capitation rates have shown a progressive increase across the three implementation rounds, reflecting adjustments based on service costs, utilization patterns, and program experience. In the </w:t>
      </w:r>
      <w:r w:rsidRPr="002B4F5D">
        <w:rPr>
          <w:rFonts w:eastAsia="Calibri"/>
        </w:rPr>
        <w:lastRenderedPageBreak/>
        <w:t>first implementation round in 2015 EFY, the monthly capitation rates were set at 349 ETB for Category A, 272 ETB for Category B, and 162 ETB for Category C facilities.</w:t>
      </w:r>
    </w:p>
    <w:p w14:paraId="4C8FF813" w14:textId="77777777" w:rsidR="00006D6C" w:rsidRPr="002B4F5D" w:rsidRDefault="00006D6C" w:rsidP="00006D6C">
      <w:pPr>
        <w:spacing w:line="360" w:lineRule="auto"/>
        <w:jc w:val="both"/>
        <w:rPr>
          <w:rFonts w:eastAsia="Calibri"/>
        </w:rPr>
      </w:pPr>
      <w:r w:rsidRPr="002B4F5D">
        <w:rPr>
          <w:rFonts w:eastAsia="Calibri"/>
        </w:rPr>
        <w:t>During the second implementation round in 2016/2017 EFY, the rates were increased to 649 ETB for Category A, 501 ETB for Category B, and 329 ETB for Category C facilities, with the introduction of a hospital capitation rate of 720 ETB.</w:t>
      </w:r>
    </w:p>
    <w:p w14:paraId="679D6417" w14:textId="3A6840F0" w:rsidR="00296320" w:rsidRPr="00006D6C" w:rsidRDefault="00296320" w:rsidP="00006D6C">
      <w:pPr>
        <w:spacing w:line="360" w:lineRule="auto"/>
        <w:jc w:val="both"/>
        <w:rPr>
          <w:rFonts w:eastAsia="Calibri"/>
        </w:rPr>
      </w:pPr>
      <w:r w:rsidRPr="00006D6C">
        <w:rPr>
          <w:rFonts w:eastAsia="Calibri"/>
        </w:rPr>
        <w:t xml:space="preserve">The program was designed to contribute to achieving Universal Health Coverage (UHC), which aims to ensure access to essential health services for all without financial hardship. Achieving UHC requires governments to mobilize resources, distribute them equitably, and use them efficiently to maximize health outcomes, ensure quality care, and protect households from out-of-pocket expenses. </w:t>
      </w:r>
    </w:p>
    <w:p w14:paraId="0C2E8752" w14:textId="77777777" w:rsidR="0030695F" w:rsidRDefault="00296320" w:rsidP="00296320">
      <w:pPr>
        <w:spacing w:line="360" w:lineRule="auto"/>
        <w:jc w:val="both"/>
        <w:rPr>
          <w:rFonts w:eastAsia="Calibri"/>
        </w:rPr>
      </w:pPr>
      <w:r w:rsidRPr="00006D6C">
        <w:rPr>
          <w:rFonts w:eastAsia="Calibri"/>
        </w:rPr>
        <w:t xml:space="preserve">Capitation payment rates increased steadily over the three implementation rounds, reflecting periodic revisions to accommodate rising service costs, inflation, and the expansion of the Community-Based Health Insurance (CBHI) program. </w:t>
      </w:r>
    </w:p>
    <w:p w14:paraId="075E70EE" w14:textId="1C733E6C" w:rsidR="00296320" w:rsidRPr="00296320" w:rsidRDefault="00296320" w:rsidP="00296320">
      <w:pPr>
        <w:spacing w:line="360" w:lineRule="auto"/>
        <w:jc w:val="both"/>
        <w:rPr>
          <w:rFonts w:eastAsia="Calibri"/>
        </w:rPr>
      </w:pPr>
      <w:r w:rsidRPr="00296320">
        <w:rPr>
          <w:rFonts w:eastAsia="Calibri"/>
        </w:rPr>
        <w:t xml:space="preserve">Although capitation payment promotes efficiency and cost containment, it may not adequately incentivize quality of care, provider accountability, and the delivery of priority public health services when implemented alone. To address this limitation, the Oromia Community-Based Health Insurance (CBHI) program links </w:t>
      </w:r>
      <w:r w:rsidRPr="00006D6C">
        <w:rPr>
          <w:rFonts w:eastAsia="Calibri"/>
        </w:rPr>
        <w:t>5%</w:t>
      </w:r>
      <w:r w:rsidRPr="00296320">
        <w:rPr>
          <w:rFonts w:eastAsia="Calibri"/>
        </w:rPr>
        <w:t xml:space="preserve"> of the approved capitation payment to performance, while the remaining </w:t>
      </w:r>
      <w:r w:rsidRPr="00006D6C">
        <w:rPr>
          <w:rFonts w:eastAsia="Calibri"/>
        </w:rPr>
        <w:t>95%</w:t>
      </w:r>
      <w:r w:rsidRPr="00296320">
        <w:rPr>
          <w:rFonts w:eastAsia="Calibri"/>
        </w:rPr>
        <w:t xml:space="preserve"> is disbursed routinely. The withheld amount is released semi-annually based on performance assessment results, with full, partial, or no payment depending on the level of achievement. Performance is evaluated using predefined indicators, including timely claims and reporting, medicine availability, service utilization, client satisfaction, emergency and referral management, compliance with the Essential Package of Health Care and the regional capitation design, and the transparent use of capitation funds. This blended payment approach aligns provider incentives with quality improvement, accountability, efficient resource utilization, and the long-term sustainability of the CBHI program.</w:t>
      </w:r>
    </w:p>
    <w:p w14:paraId="4D1F1A00" w14:textId="5358AE5D" w:rsidR="00296320" w:rsidRPr="00006D6C" w:rsidRDefault="00296320" w:rsidP="00296320">
      <w:pPr>
        <w:spacing w:line="360" w:lineRule="auto"/>
        <w:jc w:val="both"/>
        <w:rPr>
          <w:rFonts w:eastAsia="Calibri"/>
        </w:rPr>
      </w:pPr>
      <w:r w:rsidRPr="00296320">
        <w:rPr>
          <w:rFonts w:eastAsia="Calibri"/>
        </w:rPr>
        <w:t xml:space="preserve">The scale of the capitation payment modality expanded substantially over the three years. The number of CBHI households assigned to participating health facilities increased from </w:t>
      </w:r>
      <w:r w:rsidRPr="00006D6C">
        <w:rPr>
          <w:rFonts w:eastAsia="Calibri"/>
        </w:rPr>
        <w:t>304,868</w:t>
      </w:r>
      <w:r w:rsidRPr="00296320">
        <w:rPr>
          <w:rFonts w:eastAsia="Calibri"/>
        </w:rPr>
        <w:t xml:space="preserve"> in 2016 EFY to </w:t>
      </w:r>
      <w:r w:rsidRPr="00006D6C">
        <w:rPr>
          <w:rFonts w:eastAsia="Calibri"/>
        </w:rPr>
        <w:t>419,624</w:t>
      </w:r>
      <w:r w:rsidRPr="00296320">
        <w:rPr>
          <w:rFonts w:eastAsia="Calibri"/>
        </w:rPr>
        <w:t xml:space="preserve"> in 2017 EFY and reached </w:t>
      </w:r>
      <w:r w:rsidRPr="00006D6C">
        <w:rPr>
          <w:rFonts w:eastAsia="Calibri"/>
        </w:rPr>
        <w:t>1,074,160</w:t>
      </w:r>
      <w:r w:rsidRPr="00296320">
        <w:rPr>
          <w:rFonts w:eastAsia="Calibri"/>
        </w:rPr>
        <w:t xml:space="preserve"> by the </w:t>
      </w:r>
      <w:r w:rsidR="00006D6C">
        <w:rPr>
          <w:rFonts w:eastAsia="Calibri"/>
        </w:rPr>
        <w:t xml:space="preserve">year </w:t>
      </w:r>
      <w:r w:rsidRPr="00296320">
        <w:rPr>
          <w:rFonts w:eastAsia="Calibri"/>
        </w:rPr>
        <w:t xml:space="preserve">of 2018 EFY. Correspondingly, total capitation payments rose from </w:t>
      </w:r>
      <w:r w:rsidRPr="00006D6C">
        <w:rPr>
          <w:rFonts w:eastAsia="Calibri"/>
        </w:rPr>
        <w:t>ETB 37.5 million</w:t>
      </w:r>
      <w:r w:rsidRPr="00296320">
        <w:rPr>
          <w:rFonts w:eastAsia="Calibri"/>
        </w:rPr>
        <w:t xml:space="preserve"> in 2016 </w:t>
      </w:r>
      <w:r w:rsidRPr="000477A5">
        <w:rPr>
          <w:rFonts w:eastAsia="Calibri"/>
        </w:rPr>
        <w:t>to ETB 217.1 million in 2017 and ETB 1.1 billion in 2018, reflecting the rapid expansion of the program.</w:t>
      </w:r>
    </w:p>
    <w:p w14:paraId="3D354D0A" w14:textId="6834F2DB" w:rsidR="00296320" w:rsidRPr="00006D6C" w:rsidRDefault="00296320" w:rsidP="00296320">
      <w:pPr>
        <w:spacing w:line="360" w:lineRule="auto"/>
        <w:jc w:val="both"/>
        <w:rPr>
          <w:rFonts w:eastAsia="Calibri"/>
        </w:rPr>
      </w:pPr>
      <w:r w:rsidRPr="00006D6C">
        <w:rPr>
          <w:rFonts w:eastAsia="Calibri"/>
        </w:rPr>
        <w:lastRenderedPageBreak/>
        <w:t xml:space="preserve">Health facilities were categorized based on a weighted scoring system in which the total number of beneficiaries utilizing health services at each facility contributed </w:t>
      </w:r>
      <w:r w:rsidR="00006D6C">
        <w:rPr>
          <w:rFonts w:eastAsia="Calibri"/>
        </w:rPr>
        <w:t>70</w:t>
      </w:r>
      <w:r w:rsidRPr="00006D6C">
        <w:rPr>
          <w:rFonts w:eastAsia="Calibri"/>
        </w:rPr>
        <w:t xml:space="preserve">% of the overall score, and the comprehensive clinical audit (medical audit) score contributed </w:t>
      </w:r>
      <w:r w:rsidR="00006D6C">
        <w:rPr>
          <w:rFonts w:eastAsia="Calibri"/>
        </w:rPr>
        <w:t>30</w:t>
      </w:r>
      <w:r w:rsidRPr="00006D6C">
        <w:rPr>
          <w:rFonts w:eastAsia="Calibri"/>
        </w:rPr>
        <w:t>%. The weighted scores from these three indicators were combined to classify the included health centers into categories.</w:t>
      </w:r>
    </w:p>
    <w:p w14:paraId="40D946B5" w14:textId="73B71693" w:rsidR="00296320" w:rsidRPr="00006D6C" w:rsidRDefault="00296320" w:rsidP="00296320">
      <w:pPr>
        <w:spacing w:line="360" w:lineRule="auto"/>
        <w:jc w:val="both"/>
        <w:rPr>
          <w:rFonts w:eastAsia="Calibri"/>
        </w:rPr>
      </w:pPr>
      <w:r w:rsidRPr="00006D6C">
        <w:rPr>
          <w:rFonts w:eastAsia="Calibri"/>
        </w:rPr>
        <w:t xml:space="preserve">The final allocation to each health facility is determined not only by the weighted categorization indicators but also by the total revenue generated by the scheme and the expenditures incurred for health service providers operating outside the capitation payment arrangement, including hospitals, Kenema pharmacies, Red Cross facilities, and other providers reimbursed through alternative payment mechanisms. During the previous fiscal year, </w:t>
      </w:r>
      <w:r w:rsidR="00B14C1D">
        <w:rPr>
          <w:rFonts w:eastAsia="Calibri"/>
        </w:rPr>
        <w:t>45</w:t>
      </w:r>
      <w:r w:rsidRPr="00006D6C">
        <w:rPr>
          <w:rFonts w:eastAsia="Calibri"/>
        </w:rPr>
        <w:t xml:space="preserve">% of the total scheme revenue was allocated for distribution among health facilities operating under the capitation payment modality, 5% was retained as a contingency reserve, and the remaining </w:t>
      </w:r>
      <w:r w:rsidR="00B14C1D">
        <w:rPr>
          <w:rFonts w:eastAsia="Calibri"/>
        </w:rPr>
        <w:t>50</w:t>
      </w:r>
      <w:r w:rsidRPr="00006D6C">
        <w:rPr>
          <w:rFonts w:eastAsia="Calibri"/>
        </w:rPr>
        <w:t>% was designated to finance services provided through other provider payment mechanisms for facilities not covered by the capitation system.</w:t>
      </w:r>
    </w:p>
    <w:p w14:paraId="1D3A424B" w14:textId="11E4956B" w:rsidR="001F0F64" w:rsidRDefault="00887377" w:rsidP="001F0F64">
      <w:pPr>
        <w:spacing w:line="360" w:lineRule="auto"/>
        <w:jc w:val="both"/>
        <w:rPr>
          <w:rFonts w:eastAsia="Calibri"/>
        </w:rPr>
      </w:pPr>
      <w:r w:rsidRPr="001F0F64">
        <w:rPr>
          <w:rFonts w:eastAsia="Calibri"/>
        </w:rPr>
        <w:t xml:space="preserve">Oromia region performance in </w:t>
      </w:r>
      <w:r w:rsidR="001F0F64" w:rsidRPr="001F0F64">
        <w:rPr>
          <w:rFonts w:eastAsia="Calibri"/>
        </w:rPr>
        <w:t xml:space="preserve">2024/25GC </w:t>
      </w:r>
      <w:r>
        <w:rPr>
          <w:rFonts w:eastAsia="Calibri"/>
        </w:rPr>
        <w:t xml:space="preserve">showed that a total of </w:t>
      </w:r>
      <w:r w:rsidRPr="001F0F64">
        <w:rPr>
          <w:rFonts w:eastAsia="Calibri"/>
        </w:rPr>
        <w:t>419,624 enrolled households</w:t>
      </w:r>
      <w:r w:rsidRPr="001F0F64">
        <w:rPr>
          <w:rFonts w:eastAsia="Calibri"/>
        </w:rPr>
        <w:t xml:space="preserve"> </w:t>
      </w:r>
      <w:r w:rsidR="00180F37" w:rsidRPr="001F0F64">
        <w:rPr>
          <w:rFonts w:eastAsia="Calibri"/>
        </w:rPr>
        <w:t>is</w:t>
      </w:r>
      <w:r w:rsidRPr="001F0F64">
        <w:rPr>
          <w:rFonts w:eastAsia="Calibri"/>
        </w:rPr>
        <w:t xml:space="preserve"> mapped and assigned to implementing health facilities. </w:t>
      </w:r>
      <w:r w:rsidRPr="00887377">
        <w:rPr>
          <w:rFonts w:eastAsia="Calibri"/>
        </w:rPr>
        <w:t xml:space="preserve"> </w:t>
      </w:r>
      <w:r>
        <w:rPr>
          <w:rFonts w:eastAsia="Calibri"/>
        </w:rPr>
        <w:t xml:space="preserve">For those assigned </w:t>
      </w:r>
      <w:r w:rsidR="00180F37">
        <w:rPr>
          <w:rFonts w:eastAsia="Calibri"/>
        </w:rPr>
        <w:t>households</w:t>
      </w:r>
      <w:r>
        <w:rPr>
          <w:rFonts w:eastAsia="Calibri"/>
        </w:rPr>
        <w:t xml:space="preserve"> health </w:t>
      </w:r>
      <w:r w:rsidR="00180F37">
        <w:rPr>
          <w:rFonts w:eastAsia="Calibri"/>
        </w:rPr>
        <w:t>facilities</w:t>
      </w:r>
      <w:r>
        <w:rPr>
          <w:rFonts w:eastAsia="Calibri"/>
        </w:rPr>
        <w:t xml:space="preserve"> </w:t>
      </w:r>
      <w:r w:rsidR="00180F37">
        <w:rPr>
          <w:rFonts w:eastAsia="Calibri"/>
        </w:rPr>
        <w:t>pre-paid</w:t>
      </w:r>
      <w:r>
        <w:rPr>
          <w:rFonts w:eastAsia="Calibri"/>
        </w:rPr>
        <w:t xml:space="preserve"> a total </w:t>
      </w:r>
      <w:r w:rsidRPr="00887377">
        <w:rPr>
          <w:rFonts w:eastAsia="Calibri"/>
        </w:rPr>
        <w:t>217,063,974</w:t>
      </w:r>
      <w:r w:rsidRPr="001F0F64">
        <w:rPr>
          <w:rFonts w:eastAsia="Calibri"/>
        </w:rPr>
        <w:t xml:space="preserve"> ETB</w:t>
      </w:r>
      <w:r w:rsidRPr="00887377">
        <w:rPr>
          <w:rFonts w:eastAsia="Calibri"/>
        </w:rPr>
        <w:t>. The</w:t>
      </w:r>
      <w:r>
        <w:rPr>
          <w:rFonts w:eastAsia="Calibri"/>
        </w:rPr>
        <w:t xml:space="preserve"> selected </w:t>
      </w:r>
      <w:r w:rsidR="00C65DC0">
        <w:rPr>
          <w:rFonts w:eastAsia="Calibri"/>
        </w:rPr>
        <w:t xml:space="preserve">health </w:t>
      </w:r>
      <w:r w:rsidR="00C65DC0" w:rsidRPr="00887377">
        <w:rPr>
          <w:rFonts w:eastAsia="Calibri"/>
        </w:rPr>
        <w:t>center</w:t>
      </w:r>
      <w:r w:rsidRPr="00887377">
        <w:rPr>
          <w:rFonts w:eastAsia="Calibri"/>
        </w:rPr>
        <w:t xml:space="preserve"> demonstrated high service utilization by </w:t>
      </w:r>
      <w:r>
        <w:rPr>
          <w:rFonts w:eastAsia="Calibri"/>
        </w:rPr>
        <w:t>serving</w:t>
      </w:r>
      <w:r w:rsidRPr="00887377">
        <w:rPr>
          <w:rFonts w:eastAsia="Calibri"/>
        </w:rPr>
        <w:t xml:space="preserve"> </w:t>
      </w:r>
      <w:r w:rsidRPr="001F0F64">
        <w:rPr>
          <w:rFonts w:eastAsia="Calibri"/>
        </w:rPr>
        <w:t>1,074,994 clients</w:t>
      </w:r>
      <w:r w:rsidRPr="00887377">
        <w:rPr>
          <w:rFonts w:eastAsia="Calibri"/>
        </w:rPr>
        <w:t xml:space="preserve"> over the fiscal year, which translates to an active utilization rate of </w:t>
      </w:r>
      <w:r w:rsidRPr="001F0F64">
        <w:rPr>
          <w:rFonts w:eastAsia="Calibri"/>
        </w:rPr>
        <w:t>2.56 visits per household</w:t>
      </w:r>
      <w:r w:rsidRPr="001F0F64">
        <w:rPr>
          <w:rFonts w:eastAsia="Calibri"/>
        </w:rPr>
        <w:t>.</w:t>
      </w:r>
      <w:r w:rsidRPr="00887377">
        <w:rPr>
          <w:rFonts w:eastAsia="Calibri"/>
        </w:rPr>
        <w:t xml:space="preserve"> </w:t>
      </w:r>
    </w:p>
    <w:p w14:paraId="5E02099E" w14:textId="5F0DECD1" w:rsidR="00751DD9" w:rsidRDefault="00751DD9" w:rsidP="00296320">
      <w:pPr>
        <w:spacing w:line="360" w:lineRule="auto"/>
        <w:jc w:val="both"/>
        <w:rPr>
          <w:rFonts w:eastAsia="Calibri"/>
        </w:rPr>
      </w:pPr>
    </w:p>
    <w:p w14:paraId="0D8F9510" w14:textId="77777777" w:rsidR="00F73437" w:rsidRPr="00B14C1D" w:rsidRDefault="00751DD9" w:rsidP="00C65DC0">
      <w:pPr>
        <w:spacing w:line="360" w:lineRule="auto"/>
        <w:jc w:val="both"/>
      </w:pPr>
      <w:r w:rsidRPr="00751DD9">
        <w:rPr>
          <w:rFonts w:eastAsia="Calibri"/>
        </w:rPr>
        <w:t xml:space="preserve">During the </w:t>
      </w:r>
      <w:r w:rsidRPr="00B14C1D">
        <w:rPr>
          <w:rFonts w:eastAsia="Calibri"/>
        </w:rPr>
        <w:t>same</w:t>
      </w:r>
      <w:r w:rsidRPr="00B14C1D">
        <w:rPr>
          <w:rFonts w:eastAsia="Calibri"/>
        </w:rPr>
        <w:t xml:space="preserve"> Fiscal Year, the capitation health facilities effectively managed their financial resources by directing a total expenditure of 208,452,114 ETB toward direct patient-centered care. The vast majority of this capitation funding was </w:t>
      </w:r>
      <w:r w:rsidRPr="00B14C1D">
        <w:rPr>
          <w:rFonts w:eastAsia="Calibri"/>
        </w:rPr>
        <w:t>expensed</w:t>
      </w:r>
      <w:r w:rsidRPr="00B14C1D">
        <w:rPr>
          <w:rFonts w:eastAsia="Calibri"/>
        </w:rPr>
        <w:t xml:space="preserve"> to essential medical treatments, with the expense for medicine and medical supplies</w:t>
      </w:r>
      <w:r w:rsidRPr="00751DD9">
        <w:rPr>
          <w:rFonts w:eastAsia="Calibri"/>
        </w:rPr>
        <w:t xml:space="preserve"> serving as the primary cost driver </w:t>
      </w:r>
      <w:r w:rsidRPr="00180F37">
        <w:rPr>
          <w:rFonts w:eastAsia="Calibri"/>
        </w:rPr>
        <w:t>at 141,801,886</w:t>
      </w:r>
      <w:r w:rsidRPr="00751DD9">
        <w:rPr>
          <w:rFonts w:eastAsia="Calibri"/>
          <w:b/>
          <w:bCs/>
        </w:rPr>
        <w:t xml:space="preserve"> </w:t>
      </w:r>
      <w:r w:rsidRPr="00C65DC0">
        <w:rPr>
          <w:rFonts w:eastAsia="Calibri"/>
        </w:rPr>
        <w:t xml:space="preserve">ETB (approximately </w:t>
      </w:r>
      <w:r w:rsidRPr="00180F37">
        <w:rPr>
          <w:rFonts w:eastAsia="Calibri"/>
          <w:b/>
          <w:bCs/>
        </w:rPr>
        <w:t>68.0%</w:t>
      </w:r>
      <w:r w:rsidRPr="00C65DC0">
        <w:rPr>
          <w:rFonts w:eastAsia="Calibri"/>
        </w:rPr>
        <w:t xml:space="preserve"> of the total budget</w:t>
      </w:r>
      <w:r w:rsidR="00C65DC0" w:rsidRPr="00C65DC0">
        <w:rPr>
          <w:rFonts w:eastAsia="Calibri"/>
        </w:rPr>
        <w:t xml:space="preserve"> transferred</w:t>
      </w:r>
      <w:r w:rsidRPr="00C65DC0">
        <w:rPr>
          <w:rFonts w:eastAsia="Calibri"/>
        </w:rPr>
        <w:t>)</w:t>
      </w:r>
      <w:r w:rsidR="00180F37">
        <w:rPr>
          <w:rFonts w:eastAsia="Calibri"/>
        </w:rPr>
        <w:t xml:space="preserve">, </w:t>
      </w:r>
      <w:r w:rsidRPr="00C65DC0">
        <w:rPr>
          <w:rFonts w:eastAsia="Calibri"/>
        </w:rPr>
        <w:t>an expense for diagnostic services 35,699,</w:t>
      </w:r>
      <w:r w:rsidRPr="00B14C1D">
        <w:rPr>
          <w:rFonts w:eastAsia="Calibri"/>
        </w:rPr>
        <w:t xml:space="preserve">483 ETB (17.1%) to ensure evidence-based testing, while an expense for card/patient consultation </w:t>
      </w:r>
      <w:r w:rsidR="00180F37" w:rsidRPr="00B14C1D">
        <w:rPr>
          <w:rFonts w:eastAsia="Calibri"/>
        </w:rPr>
        <w:t>is</w:t>
      </w:r>
      <w:r w:rsidRPr="00B14C1D">
        <w:rPr>
          <w:rFonts w:eastAsia="Calibri"/>
        </w:rPr>
        <w:t xml:space="preserve"> 29,022,957 ETB (13.9%).</w:t>
      </w:r>
      <w:r w:rsidR="00C65DC0" w:rsidRPr="00B14C1D">
        <w:rPr>
          <w:rFonts w:eastAsia="Calibri"/>
        </w:rPr>
        <w:t xml:space="preserve"> </w:t>
      </w:r>
      <w:r w:rsidR="00C65DC0" w:rsidRPr="00B14C1D">
        <w:rPr>
          <w:rFonts w:eastAsia="Calibri"/>
        </w:rPr>
        <w:t>The cost per visit ranged from 94 ETB to 215 ETB depending on the facility</w:t>
      </w:r>
      <w:r w:rsidR="00C65DC0" w:rsidRPr="00B14C1D">
        <w:rPr>
          <w:rFonts w:eastAsia="Calibri"/>
        </w:rPr>
        <w:t xml:space="preserve"> and the regional cost per visit is 194 ETB.</w:t>
      </w:r>
      <w:r w:rsidR="00277077" w:rsidRPr="00B14C1D">
        <w:t xml:space="preserve"> </w:t>
      </w:r>
    </w:p>
    <w:p w14:paraId="7F013ACF" w14:textId="3403908D" w:rsidR="00F73437" w:rsidRPr="00B14C1D" w:rsidRDefault="00F73437" w:rsidP="00C65DC0">
      <w:pPr>
        <w:spacing w:line="360" w:lineRule="auto"/>
        <w:jc w:val="both"/>
      </w:pPr>
      <w:r>
        <w:t xml:space="preserve">The </w:t>
      </w:r>
      <w:r>
        <w:t xml:space="preserve">implementing </w:t>
      </w:r>
      <w:r>
        <w:t>health center</w:t>
      </w:r>
      <w:r>
        <w:t>s</w:t>
      </w:r>
      <w:r>
        <w:t xml:space="preserve"> delivered highly efficient clinical services during the fiscal year, achieving a </w:t>
      </w:r>
      <w:r>
        <w:rPr>
          <w:b/>
          <w:bCs/>
        </w:rPr>
        <w:t xml:space="preserve">90.19% </w:t>
      </w:r>
      <w:r w:rsidRPr="00B14C1D">
        <w:t>pharmacy dispensation rate</w:t>
      </w:r>
      <w:r>
        <w:t xml:space="preserve"> by fully supplying medicines to </w:t>
      </w:r>
      <w:r w:rsidRPr="00B14C1D">
        <w:t>960,198 out of 1,064,659 patients</w:t>
      </w:r>
      <w:r>
        <w:t xml:space="preserve">, alongside an outstanding </w:t>
      </w:r>
      <w:r>
        <w:rPr>
          <w:b/>
          <w:bCs/>
        </w:rPr>
        <w:t>95.05% diagnostic fulfillment rate</w:t>
      </w:r>
      <w:r>
        <w:t xml:space="preserve"> by successfully completing all requested tests </w:t>
      </w:r>
      <w:r w:rsidRPr="00B14C1D">
        <w:t>for 506,394 out of 532,751 clients.</w:t>
      </w:r>
    </w:p>
    <w:p w14:paraId="25CC6156" w14:textId="0E75A119" w:rsidR="00277077" w:rsidRDefault="00277077" w:rsidP="00C65DC0">
      <w:pPr>
        <w:spacing w:line="360" w:lineRule="auto"/>
        <w:jc w:val="both"/>
      </w:pPr>
      <w:r>
        <w:lastRenderedPageBreak/>
        <w:t>During the fiscal year, the health facilities purchas</w:t>
      </w:r>
      <w:r w:rsidR="006F56CC">
        <w:t>e drugs and medical supplies with a</w:t>
      </w:r>
      <w:r>
        <w:t xml:space="preserve"> total of </w:t>
      </w:r>
      <w:r>
        <w:rPr>
          <w:b/>
          <w:bCs/>
        </w:rPr>
        <w:t>540,116,288 ETB</w:t>
      </w:r>
      <w:r w:rsidR="006F56CC">
        <w:rPr>
          <w:b/>
          <w:bCs/>
        </w:rPr>
        <w:t xml:space="preserve"> </w:t>
      </w:r>
      <w:r w:rsidR="006F56CC" w:rsidRPr="00B14C1D">
        <w:t>to improve service delivery</w:t>
      </w:r>
      <w:r w:rsidR="003606E3">
        <w:t xml:space="preserve">. </w:t>
      </w:r>
      <w:r>
        <w:t xml:space="preserve">The dominant share of </w:t>
      </w:r>
      <w:r w:rsidR="00F447B0">
        <w:t>the supply</w:t>
      </w:r>
      <w:r>
        <w:t xml:space="preserve"> was sourced directly from </w:t>
      </w:r>
      <w:r>
        <w:rPr>
          <w:b/>
          <w:bCs/>
        </w:rPr>
        <w:t>EPSA</w:t>
      </w:r>
      <w:r>
        <w:t xml:space="preserve">, which accounted for </w:t>
      </w:r>
      <w:r>
        <w:rPr>
          <w:b/>
          <w:bCs/>
        </w:rPr>
        <w:t xml:space="preserve">418,954,117 </w:t>
      </w:r>
      <w:r w:rsidR="00683FCC">
        <w:rPr>
          <w:b/>
          <w:bCs/>
        </w:rPr>
        <w:t>ETB</w:t>
      </w:r>
      <w:r w:rsidR="00683FCC">
        <w:t xml:space="preserve"> approximately</w:t>
      </w:r>
      <w:r>
        <w:t xml:space="preserve"> </w:t>
      </w:r>
      <w:r>
        <w:rPr>
          <w:b/>
          <w:bCs/>
        </w:rPr>
        <w:t>77.6%</w:t>
      </w:r>
      <w:r>
        <w:t xml:space="preserve"> of the </w:t>
      </w:r>
      <w:r w:rsidR="00180F37">
        <w:t>total</w:t>
      </w:r>
      <w:r w:rsidR="00F447B0">
        <w:t xml:space="preserve"> purchased</w:t>
      </w:r>
      <w:r w:rsidR="00180F37">
        <w:t>.</w:t>
      </w:r>
      <w:r w:rsidR="00C813C5">
        <w:t xml:space="preserve"> </w:t>
      </w:r>
    </w:p>
    <w:p w14:paraId="3B1EAB01" w14:textId="5E512F79" w:rsidR="00180F37" w:rsidRDefault="00F923D4" w:rsidP="00180F37">
      <w:pPr>
        <w:spacing w:line="360" w:lineRule="auto"/>
        <w:jc w:val="both"/>
        <w:rPr>
          <w:rFonts w:eastAsia="Calibri"/>
        </w:rPr>
      </w:pPr>
      <w:r>
        <w:rPr>
          <w:rFonts w:eastAsia="Calibri"/>
        </w:rPr>
        <w:t>B</w:t>
      </w:r>
      <w:r w:rsidR="00180F37" w:rsidRPr="001F0F64">
        <w:rPr>
          <w:rFonts w:eastAsia="Calibri"/>
        </w:rPr>
        <w:t>y 2018 Ethiopian Fiscal Year (EFY), a total of ETB 1,149,948,079 had been allocated from the revenue collected by the selected schemes for distribution among participating health facilities. The allocation was based on the approved capitation payment framework. Of the 1,074,160 households assigned to the participating health facilities, 988,107 households (91%) utilized health services during the reporting period.</w:t>
      </w:r>
    </w:p>
    <w:p w14:paraId="321A6EF0" w14:textId="77777777" w:rsidR="00180F37" w:rsidRPr="00C65DC0" w:rsidRDefault="00180F37" w:rsidP="00C65DC0">
      <w:pPr>
        <w:spacing w:line="360" w:lineRule="auto"/>
        <w:jc w:val="both"/>
        <w:rPr>
          <w:rFonts w:eastAsia="Calibri"/>
        </w:rPr>
      </w:pPr>
    </w:p>
    <w:p w14:paraId="02C83022" w14:textId="6C50A2CE" w:rsidR="00296320" w:rsidRPr="00006D6C" w:rsidRDefault="00296320" w:rsidP="00296320">
      <w:pPr>
        <w:spacing w:line="360" w:lineRule="auto"/>
        <w:jc w:val="both"/>
        <w:rPr>
          <w:rFonts w:eastAsia="Calibri"/>
        </w:rPr>
      </w:pPr>
    </w:p>
    <w:p w14:paraId="01B4381E" w14:textId="77777777" w:rsidR="00296320" w:rsidRPr="00006D6C" w:rsidRDefault="00296320" w:rsidP="00006D6C">
      <w:pPr>
        <w:spacing w:line="360" w:lineRule="auto"/>
        <w:jc w:val="both"/>
        <w:rPr>
          <w:rFonts w:eastAsia="Calibri"/>
        </w:rPr>
      </w:pPr>
    </w:p>
    <w:sectPr w:rsidR="00296320" w:rsidRPr="00006D6C" w:rsidSect="00440266">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15C72" w14:textId="77777777" w:rsidR="00245910" w:rsidRDefault="00245910">
      <w:r>
        <w:separator/>
      </w:r>
    </w:p>
  </w:endnote>
  <w:endnote w:type="continuationSeparator" w:id="0">
    <w:p w14:paraId="1AAAB857" w14:textId="77777777" w:rsidR="00245910" w:rsidRDefault="00245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594538"/>
      <w:docPartObj>
        <w:docPartGallery w:val="Page Numbers (Bottom of Page)"/>
        <w:docPartUnique/>
      </w:docPartObj>
    </w:sdtPr>
    <w:sdtEndPr>
      <w:rPr>
        <w:noProof/>
      </w:rPr>
    </w:sdtEndPr>
    <w:sdtContent>
      <w:p w14:paraId="2EC780D8" w14:textId="3102CE06" w:rsidR="001F6624" w:rsidRDefault="001F66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56E10B" w14:textId="77777777" w:rsidR="001F6624" w:rsidRDefault="001F6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8295C" w14:textId="77777777" w:rsidR="00245910" w:rsidRDefault="00245910">
      <w:r>
        <w:separator/>
      </w:r>
    </w:p>
  </w:footnote>
  <w:footnote w:type="continuationSeparator" w:id="0">
    <w:p w14:paraId="078442ED" w14:textId="77777777" w:rsidR="00245910" w:rsidRDefault="00245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031AB"/>
    <w:multiLevelType w:val="multilevel"/>
    <w:tmpl w:val="9B8CF2C4"/>
    <w:lvl w:ilvl="0">
      <w:start w:val="1"/>
      <w:numFmt w:val="decimal"/>
      <w:lvlText w:val="%1."/>
      <w:lvlJc w:val="left"/>
      <w:pPr>
        <w:ind w:left="900" w:hanging="360"/>
      </w:pPr>
    </w:lvl>
    <w:lvl w:ilvl="1">
      <w:start w:val="1"/>
      <w:numFmt w:val="decimal"/>
      <w:isLgl/>
      <w:lvlText w:val="%1.%2"/>
      <w:lvlJc w:val="left"/>
      <w:pPr>
        <w:ind w:left="1320" w:hanging="420"/>
      </w:pPr>
      <w:rPr>
        <w:rFonts w:eastAsia="Times New Roman" w:hint="default"/>
        <w:b w:val="0"/>
        <w:bCs/>
        <w:color w:val="auto"/>
        <w:sz w:val="32"/>
      </w:rPr>
    </w:lvl>
    <w:lvl w:ilvl="2">
      <w:start w:val="1"/>
      <w:numFmt w:val="decimal"/>
      <w:isLgl/>
      <w:lvlText w:val="%1.%2.%3"/>
      <w:lvlJc w:val="left"/>
      <w:pPr>
        <w:ind w:left="1980" w:hanging="720"/>
      </w:pPr>
      <w:rPr>
        <w:rFonts w:eastAsia="Times New Roman" w:hint="default"/>
        <w:b/>
        <w:color w:val="auto"/>
        <w:sz w:val="32"/>
      </w:rPr>
    </w:lvl>
    <w:lvl w:ilvl="3">
      <w:start w:val="1"/>
      <w:numFmt w:val="decimal"/>
      <w:isLgl/>
      <w:lvlText w:val="%1.%2.%3.%4"/>
      <w:lvlJc w:val="left"/>
      <w:pPr>
        <w:ind w:left="2340" w:hanging="720"/>
      </w:pPr>
      <w:rPr>
        <w:rFonts w:eastAsia="Times New Roman" w:hint="default"/>
        <w:b/>
        <w:color w:val="auto"/>
        <w:sz w:val="32"/>
      </w:rPr>
    </w:lvl>
    <w:lvl w:ilvl="4">
      <w:start w:val="1"/>
      <w:numFmt w:val="decimal"/>
      <w:isLgl/>
      <w:lvlText w:val="%1.%2.%3.%4.%5"/>
      <w:lvlJc w:val="left"/>
      <w:pPr>
        <w:ind w:left="3060" w:hanging="1080"/>
      </w:pPr>
      <w:rPr>
        <w:rFonts w:eastAsia="Times New Roman" w:hint="default"/>
        <w:b/>
        <w:color w:val="auto"/>
        <w:sz w:val="32"/>
      </w:rPr>
    </w:lvl>
    <w:lvl w:ilvl="5">
      <w:start w:val="1"/>
      <w:numFmt w:val="decimal"/>
      <w:isLgl/>
      <w:lvlText w:val="%1.%2.%3.%4.%5.%6"/>
      <w:lvlJc w:val="left"/>
      <w:pPr>
        <w:ind w:left="3420" w:hanging="1080"/>
      </w:pPr>
      <w:rPr>
        <w:rFonts w:eastAsia="Times New Roman" w:hint="default"/>
        <w:b/>
        <w:color w:val="auto"/>
        <w:sz w:val="32"/>
      </w:rPr>
    </w:lvl>
    <w:lvl w:ilvl="6">
      <w:start w:val="1"/>
      <w:numFmt w:val="decimal"/>
      <w:isLgl/>
      <w:lvlText w:val="%1.%2.%3.%4.%5.%6.%7"/>
      <w:lvlJc w:val="left"/>
      <w:pPr>
        <w:ind w:left="4140" w:hanging="1440"/>
      </w:pPr>
      <w:rPr>
        <w:rFonts w:eastAsia="Times New Roman" w:hint="default"/>
        <w:b/>
        <w:color w:val="auto"/>
        <w:sz w:val="32"/>
      </w:rPr>
    </w:lvl>
    <w:lvl w:ilvl="7">
      <w:start w:val="1"/>
      <w:numFmt w:val="decimal"/>
      <w:isLgl/>
      <w:lvlText w:val="%1.%2.%3.%4.%5.%6.%7.%8"/>
      <w:lvlJc w:val="left"/>
      <w:pPr>
        <w:ind w:left="4500" w:hanging="1440"/>
      </w:pPr>
      <w:rPr>
        <w:rFonts w:eastAsia="Times New Roman" w:hint="default"/>
        <w:b/>
        <w:color w:val="auto"/>
        <w:sz w:val="32"/>
      </w:rPr>
    </w:lvl>
    <w:lvl w:ilvl="8">
      <w:start w:val="1"/>
      <w:numFmt w:val="decimal"/>
      <w:isLgl/>
      <w:lvlText w:val="%1.%2.%3.%4.%5.%6.%7.%8.%9"/>
      <w:lvlJc w:val="left"/>
      <w:pPr>
        <w:ind w:left="5220" w:hanging="1800"/>
      </w:pPr>
      <w:rPr>
        <w:rFonts w:eastAsia="Times New Roman" w:hint="default"/>
        <w:b/>
        <w:color w:val="auto"/>
        <w:sz w:val="32"/>
      </w:rPr>
    </w:lvl>
  </w:abstractNum>
  <w:abstractNum w:abstractNumId="1" w15:restartNumberingAfterBreak="0">
    <w:nsid w:val="1BC33F95"/>
    <w:multiLevelType w:val="multilevel"/>
    <w:tmpl w:val="9B8CF2C4"/>
    <w:lvl w:ilvl="0">
      <w:start w:val="1"/>
      <w:numFmt w:val="decimal"/>
      <w:lvlText w:val="%1."/>
      <w:lvlJc w:val="left"/>
      <w:pPr>
        <w:ind w:left="720" w:hanging="360"/>
      </w:pPr>
    </w:lvl>
    <w:lvl w:ilvl="1">
      <w:start w:val="1"/>
      <w:numFmt w:val="decimal"/>
      <w:isLgl/>
      <w:lvlText w:val="%1.%2"/>
      <w:lvlJc w:val="left"/>
      <w:pPr>
        <w:ind w:left="1140" w:hanging="420"/>
      </w:pPr>
      <w:rPr>
        <w:rFonts w:eastAsia="Times New Roman" w:hint="default"/>
        <w:b w:val="0"/>
        <w:bCs/>
        <w:color w:val="auto"/>
        <w:sz w:val="32"/>
      </w:rPr>
    </w:lvl>
    <w:lvl w:ilvl="2">
      <w:start w:val="1"/>
      <w:numFmt w:val="decimal"/>
      <w:isLgl/>
      <w:lvlText w:val="%1.%2.%3"/>
      <w:lvlJc w:val="left"/>
      <w:pPr>
        <w:ind w:left="1800" w:hanging="720"/>
      </w:pPr>
      <w:rPr>
        <w:rFonts w:eastAsia="Times New Roman" w:hint="default"/>
        <w:b/>
        <w:color w:val="auto"/>
        <w:sz w:val="32"/>
      </w:rPr>
    </w:lvl>
    <w:lvl w:ilvl="3">
      <w:start w:val="1"/>
      <w:numFmt w:val="decimal"/>
      <w:isLgl/>
      <w:lvlText w:val="%1.%2.%3.%4"/>
      <w:lvlJc w:val="left"/>
      <w:pPr>
        <w:ind w:left="2160" w:hanging="720"/>
      </w:pPr>
      <w:rPr>
        <w:rFonts w:eastAsia="Times New Roman" w:hint="default"/>
        <w:b/>
        <w:color w:val="auto"/>
        <w:sz w:val="32"/>
      </w:rPr>
    </w:lvl>
    <w:lvl w:ilvl="4">
      <w:start w:val="1"/>
      <w:numFmt w:val="decimal"/>
      <w:isLgl/>
      <w:lvlText w:val="%1.%2.%3.%4.%5"/>
      <w:lvlJc w:val="left"/>
      <w:pPr>
        <w:ind w:left="2880" w:hanging="1080"/>
      </w:pPr>
      <w:rPr>
        <w:rFonts w:eastAsia="Times New Roman" w:hint="default"/>
        <w:b/>
        <w:color w:val="auto"/>
        <w:sz w:val="32"/>
      </w:rPr>
    </w:lvl>
    <w:lvl w:ilvl="5">
      <w:start w:val="1"/>
      <w:numFmt w:val="decimal"/>
      <w:isLgl/>
      <w:lvlText w:val="%1.%2.%3.%4.%5.%6"/>
      <w:lvlJc w:val="left"/>
      <w:pPr>
        <w:ind w:left="3240" w:hanging="1080"/>
      </w:pPr>
      <w:rPr>
        <w:rFonts w:eastAsia="Times New Roman" w:hint="default"/>
        <w:b/>
        <w:color w:val="auto"/>
        <w:sz w:val="32"/>
      </w:rPr>
    </w:lvl>
    <w:lvl w:ilvl="6">
      <w:start w:val="1"/>
      <w:numFmt w:val="decimal"/>
      <w:isLgl/>
      <w:lvlText w:val="%1.%2.%3.%4.%5.%6.%7"/>
      <w:lvlJc w:val="left"/>
      <w:pPr>
        <w:ind w:left="3960" w:hanging="1440"/>
      </w:pPr>
      <w:rPr>
        <w:rFonts w:eastAsia="Times New Roman" w:hint="default"/>
        <w:b/>
        <w:color w:val="auto"/>
        <w:sz w:val="32"/>
      </w:rPr>
    </w:lvl>
    <w:lvl w:ilvl="7">
      <w:start w:val="1"/>
      <w:numFmt w:val="decimal"/>
      <w:isLgl/>
      <w:lvlText w:val="%1.%2.%3.%4.%5.%6.%7.%8"/>
      <w:lvlJc w:val="left"/>
      <w:pPr>
        <w:ind w:left="4320" w:hanging="1440"/>
      </w:pPr>
      <w:rPr>
        <w:rFonts w:eastAsia="Times New Roman" w:hint="default"/>
        <w:b/>
        <w:color w:val="auto"/>
        <w:sz w:val="32"/>
      </w:rPr>
    </w:lvl>
    <w:lvl w:ilvl="8">
      <w:start w:val="1"/>
      <w:numFmt w:val="decimal"/>
      <w:isLgl/>
      <w:lvlText w:val="%1.%2.%3.%4.%5.%6.%7.%8.%9"/>
      <w:lvlJc w:val="left"/>
      <w:pPr>
        <w:ind w:left="5040" w:hanging="1800"/>
      </w:pPr>
      <w:rPr>
        <w:rFonts w:eastAsia="Times New Roman" w:hint="default"/>
        <w:b/>
        <w:color w:val="auto"/>
        <w:sz w:val="32"/>
      </w:rPr>
    </w:lvl>
  </w:abstractNum>
  <w:abstractNum w:abstractNumId="2" w15:restartNumberingAfterBreak="0">
    <w:nsid w:val="4D2C5380"/>
    <w:multiLevelType w:val="multilevel"/>
    <w:tmpl w:val="7F381CFE"/>
    <w:lvl w:ilvl="0">
      <w:start w:val="1"/>
      <w:numFmt w:val="decimal"/>
      <w:lvlText w:val="%1."/>
      <w:lvlJc w:val="left"/>
      <w:pPr>
        <w:ind w:left="1170" w:hanging="360"/>
      </w:pPr>
    </w:lvl>
    <w:lvl w:ilvl="1">
      <w:start w:val="1"/>
      <w:numFmt w:val="decimal"/>
      <w:isLgl/>
      <w:lvlText w:val="%1.%2"/>
      <w:lvlJc w:val="left"/>
      <w:pPr>
        <w:ind w:left="1140" w:hanging="420"/>
      </w:pPr>
      <w:rPr>
        <w:rFonts w:eastAsia="Times New Roman" w:hint="default"/>
        <w:b w:val="0"/>
        <w:bCs/>
        <w:color w:val="auto"/>
        <w:sz w:val="28"/>
        <w:szCs w:val="20"/>
      </w:rPr>
    </w:lvl>
    <w:lvl w:ilvl="2">
      <w:start w:val="1"/>
      <w:numFmt w:val="decimal"/>
      <w:isLgl/>
      <w:lvlText w:val="%1.%2.%3"/>
      <w:lvlJc w:val="left"/>
      <w:pPr>
        <w:ind w:left="1800" w:hanging="720"/>
      </w:pPr>
      <w:rPr>
        <w:rFonts w:eastAsia="Times New Roman" w:hint="default"/>
        <w:b/>
        <w:color w:val="auto"/>
        <w:sz w:val="32"/>
      </w:rPr>
    </w:lvl>
    <w:lvl w:ilvl="3">
      <w:start w:val="1"/>
      <w:numFmt w:val="decimal"/>
      <w:isLgl/>
      <w:lvlText w:val="%1.%2.%3.%4"/>
      <w:lvlJc w:val="left"/>
      <w:pPr>
        <w:ind w:left="2160" w:hanging="720"/>
      </w:pPr>
      <w:rPr>
        <w:rFonts w:eastAsia="Times New Roman" w:hint="default"/>
        <w:b/>
        <w:color w:val="auto"/>
        <w:sz w:val="32"/>
      </w:rPr>
    </w:lvl>
    <w:lvl w:ilvl="4">
      <w:start w:val="1"/>
      <w:numFmt w:val="decimal"/>
      <w:isLgl/>
      <w:lvlText w:val="%1.%2.%3.%4.%5"/>
      <w:lvlJc w:val="left"/>
      <w:pPr>
        <w:ind w:left="2880" w:hanging="1080"/>
      </w:pPr>
      <w:rPr>
        <w:rFonts w:eastAsia="Times New Roman" w:hint="default"/>
        <w:b/>
        <w:color w:val="auto"/>
        <w:sz w:val="32"/>
      </w:rPr>
    </w:lvl>
    <w:lvl w:ilvl="5">
      <w:start w:val="1"/>
      <w:numFmt w:val="decimal"/>
      <w:isLgl/>
      <w:lvlText w:val="%1.%2.%3.%4.%5.%6"/>
      <w:lvlJc w:val="left"/>
      <w:pPr>
        <w:ind w:left="3240" w:hanging="1080"/>
      </w:pPr>
      <w:rPr>
        <w:rFonts w:eastAsia="Times New Roman" w:hint="default"/>
        <w:b/>
        <w:color w:val="auto"/>
        <w:sz w:val="32"/>
      </w:rPr>
    </w:lvl>
    <w:lvl w:ilvl="6">
      <w:start w:val="1"/>
      <w:numFmt w:val="decimal"/>
      <w:isLgl/>
      <w:lvlText w:val="%1.%2.%3.%4.%5.%6.%7"/>
      <w:lvlJc w:val="left"/>
      <w:pPr>
        <w:ind w:left="3960" w:hanging="1440"/>
      </w:pPr>
      <w:rPr>
        <w:rFonts w:eastAsia="Times New Roman" w:hint="default"/>
        <w:b/>
        <w:color w:val="auto"/>
        <w:sz w:val="32"/>
      </w:rPr>
    </w:lvl>
    <w:lvl w:ilvl="7">
      <w:start w:val="1"/>
      <w:numFmt w:val="decimal"/>
      <w:isLgl/>
      <w:lvlText w:val="%1.%2.%3.%4.%5.%6.%7.%8"/>
      <w:lvlJc w:val="left"/>
      <w:pPr>
        <w:ind w:left="4320" w:hanging="1440"/>
      </w:pPr>
      <w:rPr>
        <w:rFonts w:eastAsia="Times New Roman" w:hint="default"/>
        <w:b/>
        <w:color w:val="auto"/>
        <w:sz w:val="32"/>
      </w:rPr>
    </w:lvl>
    <w:lvl w:ilvl="8">
      <w:start w:val="1"/>
      <w:numFmt w:val="decimal"/>
      <w:isLgl/>
      <w:lvlText w:val="%1.%2.%3.%4.%5.%6.%7.%8.%9"/>
      <w:lvlJc w:val="left"/>
      <w:pPr>
        <w:ind w:left="5040" w:hanging="1800"/>
      </w:pPr>
      <w:rPr>
        <w:rFonts w:eastAsia="Times New Roman" w:hint="default"/>
        <w:b/>
        <w:color w:val="auto"/>
        <w:sz w:val="32"/>
      </w:rPr>
    </w:lvl>
  </w:abstractNum>
  <w:num w:numId="1" w16cid:durableId="1409619000">
    <w:abstractNumId w:val="2"/>
  </w:num>
  <w:num w:numId="2" w16cid:durableId="643852342">
    <w:abstractNumId w:val="1"/>
  </w:num>
  <w:num w:numId="3" w16cid:durableId="272592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9F1"/>
    <w:rsid w:val="00006D6C"/>
    <w:rsid w:val="000306BA"/>
    <w:rsid w:val="000477A5"/>
    <w:rsid w:val="00064DEB"/>
    <w:rsid w:val="000879AB"/>
    <w:rsid w:val="0009261E"/>
    <w:rsid w:val="00107A29"/>
    <w:rsid w:val="001123F8"/>
    <w:rsid w:val="001363D1"/>
    <w:rsid w:val="00166DF8"/>
    <w:rsid w:val="00180F37"/>
    <w:rsid w:val="001B3047"/>
    <w:rsid w:val="001F0F64"/>
    <w:rsid w:val="001F6624"/>
    <w:rsid w:val="00245910"/>
    <w:rsid w:val="00247C13"/>
    <w:rsid w:val="00262218"/>
    <w:rsid w:val="002711B4"/>
    <w:rsid w:val="00276362"/>
    <w:rsid w:val="00277077"/>
    <w:rsid w:val="00281048"/>
    <w:rsid w:val="00296320"/>
    <w:rsid w:val="002B4F5D"/>
    <w:rsid w:val="00302FA4"/>
    <w:rsid w:val="0030507F"/>
    <w:rsid w:val="0030695F"/>
    <w:rsid w:val="003606E3"/>
    <w:rsid w:val="0036470A"/>
    <w:rsid w:val="003713B1"/>
    <w:rsid w:val="003C0F69"/>
    <w:rsid w:val="003C2A87"/>
    <w:rsid w:val="003D71DD"/>
    <w:rsid w:val="003E2ED7"/>
    <w:rsid w:val="003E3FDB"/>
    <w:rsid w:val="00414DC8"/>
    <w:rsid w:val="00440266"/>
    <w:rsid w:val="0048010D"/>
    <w:rsid w:val="004831C2"/>
    <w:rsid w:val="004B4ECA"/>
    <w:rsid w:val="004E69C1"/>
    <w:rsid w:val="004F7526"/>
    <w:rsid w:val="00503517"/>
    <w:rsid w:val="005364CD"/>
    <w:rsid w:val="005424D0"/>
    <w:rsid w:val="005538CF"/>
    <w:rsid w:val="005925BF"/>
    <w:rsid w:val="005C72D7"/>
    <w:rsid w:val="005F5968"/>
    <w:rsid w:val="0061446B"/>
    <w:rsid w:val="00625959"/>
    <w:rsid w:val="00637CEB"/>
    <w:rsid w:val="0065552A"/>
    <w:rsid w:val="00655DDD"/>
    <w:rsid w:val="006620D0"/>
    <w:rsid w:val="0066482F"/>
    <w:rsid w:val="00672156"/>
    <w:rsid w:val="00677DD0"/>
    <w:rsid w:val="00683FCC"/>
    <w:rsid w:val="006D089A"/>
    <w:rsid w:val="006E5DB9"/>
    <w:rsid w:val="006F56CC"/>
    <w:rsid w:val="0074473D"/>
    <w:rsid w:val="00751DD9"/>
    <w:rsid w:val="0076671C"/>
    <w:rsid w:val="007962AA"/>
    <w:rsid w:val="007D331B"/>
    <w:rsid w:val="007E48AC"/>
    <w:rsid w:val="008231E0"/>
    <w:rsid w:val="008270EF"/>
    <w:rsid w:val="0086702E"/>
    <w:rsid w:val="0087287E"/>
    <w:rsid w:val="0087633F"/>
    <w:rsid w:val="00887377"/>
    <w:rsid w:val="008B2AB6"/>
    <w:rsid w:val="00907C8D"/>
    <w:rsid w:val="00957B10"/>
    <w:rsid w:val="00965352"/>
    <w:rsid w:val="00974E7A"/>
    <w:rsid w:val="00995178"/>
    <w:rsid w:val="009A79FE"/>
    <w:rsid w:val="009B2C93"/>
    <w:rsid w:val="00A05C26"/>
    <w:rsid w:val="00A26561"/>
    <w:rsid w:val="00A73D82"/>
    <w:rsid w:val="00A87C3F"/>
    <w:rsid w:val="00AF492A"/>
    <w:rsid w:val="00B10E3F"/>
    <w:rsid w:val="00B14C1D"/>
    <w:rsid w:val="00B15319"/>
    <w:rsid w:val="00B168DE"/>
    <w:rsid w:val="00B3095A"/>
    <w:rsid w:val="00BB678D"/>
    <w:rsid w:val="00C32A9D"/>
    <w:rsid w:val="00C455F0"/>
    <w:rsid w:val="00C50035"/>
    <w:rsid w:val="00C65DC0"/>
    <w:rsid w:val="00C70C36"/>
    <w:rsid w:val="00C813C5"/>
    <w:rsid w:val="00CA6FC7"/>
    <w:rsid w:val="00CB19CC"/>
    <w:rsid w:val="00D009F1"/>
    <w:rsid w:val="00D44A60"/>
    <w:rsid w:val="00D738E5"/>
    <w:rsid w:val="00D77F05"/>
    <w:rsid w:val="00DA1EA5"/>
    <w:rsid w:val="00DD2AC2"/>
    <w:rsid w:val="00DF16BF"/>
    <w:rsid w:val="00DF7630"/>
    <w:rsid w:val="00E063D9"/>
    <w:rsid w:val="00E116AF"/>
    <w:rsid w:val="00E26F05"/>
    <w:rsid w:val="00E7128F"/>
    <w:rsid w:val="00E94F54"/>
    <w:rsid w:val="00E9664C"/>
    <w:rsid w:val="00EB35D4"/>
    <w:rsid w:val="00F30334"/>
    <w:rsid w:val="00F447B0"/>
    <w:rsid w:val="00F73437"/>
    <w:rsid w:val="00F923D4"/>
    <w:rsid w:val="00FA0F12"/>
    <w:rsid w:val="46765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F37F"/>
  <w15:docId w15:val="{E79FB5F0-946C-4B87-9941-A7B534860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heme="minorHAnsi" w:hAnsi="Times New Roman" w:cs="Times New Roman"/>
      <w:color w:val="0F1115"/>
      <w:kern w:val="2"/>
      <w:sz w:val="24"/>
      <w:szCs w:val="24"/>
      <w14:ligatures w14:val="standardContextual"/>
    </w:rPr>
  </w:style>
  <w:style w:type="paragraph" w:styleId="Heading3">
    <w:name w:val="heading 3"/>
    <w:basedOn w:val="Normal"/>
    <w:link w:val="Heading3Char"/>
    <w:uiPriority w:val="9"/>
    <w:qFormat/>
    <w:pPr>
      <w:spacing w:before="100" w:beforeAutospacing="1" w:after="100" w:afterAutospacing="1"/>
      <w:outlineLvl w:val="2"/>
    </w:pPr>
    <w:rPr>
      <w:rFonts w:eastAsia="Times New Roman"/>
      <w:b/>
      <w:bCs/>
      <w:color w:val="auto"/>
      <w:kern w:val="0"/>
      <w:sz w:val="27"/>
      <w:szCs w:val="27"/>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pPr>
    <w:rPr>
      <w:rFonts w:eastAsia="Times New Roman"/>
      <w:color w:val="auto"/>
      <w:kern w:val="0"/>
      <w14:ligatures w14:val="none"/>
    </w:rPr>
  </w:style>
  <w:style w:type="character" w:styleId="Strong">
    <w:name w:val="Strong"/>
    <w:basedOn w:val="DefaultParagraphFont"/>
    <w:uiPriority w:val="22"/>
    <w:qFormat/>
    <w:rPr>
      <w:b/>
      <w:bCs/>
    </w:rPr>
  </w:style>
  <w:style w:type="character" w:customStyle="1" w:styleId="Heading3Char">
    <w:name w:val="Heading 3 Char"/>
    <w:basedOn w:val="DefaultParagraphFont"/>
    <w:link w:val="Heading3"/>
    <w:uiPriority w:val="9"/>
    <w:rPr>
      <w:rFonts w:eastAsia="Times New Roman"/>
      <w:b/>
      <w:bCs/>
      <w:color w:val="auto"/>
      <w:kern w:val="0"/>
      <w:sz w:val="27"/>
      <w:szCs w:val="27"/>
      <w14:ligatures w14:val="none"/>
    </w:rPr>
  </w:style>
  <w:style w:type="paragraph" w:styleId="Header">
    <w:name w:val="header"/>
    <w:basedOn w:val="Normal"/>
    <w:link w:val="HeaderChar"/>
    <w:uiPriority w:val="99"/>
    <w:unhideWhenUsed/>
    <w:rsid w:val="001F6624"/>
    <w:pPr>
      <w:tabs>
        <w:tab w:val="center" w:pos="4680"/>
        <w:tab w:val="right" w:pos="9360"/>
      </w:tabs>
    </w:pPr>
  </w:style>
  <w:style w:type="character" w:customStyle="1" w:styleId="HeaderChar">
    <w:name w:val="Header Char"/>
    <w:basedOn w:val="DefaultParagraphFont"/>
    <w:link w:val="Header"/>
    <w:uiPriority w:val="99"/>
    <w:rsid w:val="001F6624"/>
    <w:rPr>
      <w:rFonts w:ascii="Times New Roman" w:eastAsiaTheme="minorHAnsi" w:hAnsi="Times New Roman" w:cs="Times New Roman"/>
      <w:color w:val="0F1115"/>
      <w:kern w:val="2"/>
      <w:sz w:val="24"/>
      <w:szCs w:val="24"/>
      <w14:ligatures w14:val="standardContextual"/>
    </w:rPr>
  </w:style>
  <w:style w:type="paragraph" w:styleId="Footer">
    <w:name w:val="footer"/>
    <w:basedOn w:val="Normal"/>
    <w:link w:val="FooterChar"/>
    <w:uiPriority w:val="99"/>
    <w:unhideWhenUsed/>
    <w:rsid w:val="001F6624"/>
    <w:pPr>
      <w:tabs>
        <w:tab w:val="center" w:pos="4680"/>
        <w:tab w:val="right" w:pos="9360"/>
      </w:tabs>
    </w:pPr>
  </w:style>
  <w:style w:type="character" w:customStyle="1" w:styleId="FooterChar">
    <w:name w:val="Footer Char"/>
    <w:basedOn w:val="DefaultParagraphFont"/>
    <w:link w:val="Footer"/>
    <w:uiPriority w:val="99"/>
    <w:rsid w:val="001F6624"/>
    <w:rPr>
      <w:rFonts w:ascii="Times New Roman" w:eastAsiaTheme="minorHAnsi" w:hAnsi="Times New Roman" w:cs="Times New Roman"/>
      <w:color w:val="0F1115"/>
      <w:kern w:val="2"/>
      <w:sz w:val="24"/>
      <w:szCs w:val="24"/>
      <w14:ligatures w14:val="standardContextual"/>
    </w:rPr>
  </w:style>
  <w:style w:type="paragraph" w:customStyle="1" w:styleId="isselectedend">
    <w:name w:val="isselectedend"/>
    <w:basedOn w:val="Normal"/>
    <w:rsid w:val="00107A29"/>
    <w:pPr>
      <w:spacing w:before="100" w:beforeAutospacing="1" w:after="100" w:afterAutospacing="1"/>
    </w:pPr>
    <w:rPr>
      <w:rFonts w:eastAsia="Times New Roman"/>
      <w:color w:val="auto"/>
      <w:kern w:val="0"/>
      <w14:ligatures w14:val="none"/>
    </w:rPr>
  </w:style>
  <w:style w:type="paragraph" w:styleId="ListParagraph">
    <w:name w:val="List Paragraph"/>
    <w:basedOn w:val="Normal"/>
    <w:uiPriority w:val="99"/>
    <w:unhideWhenUsed/>
    <w:rsid w:val="00296320"/>
    <w:pPr>
      <w:ind w:left="720"/>
      <w:contextualSpacing/>
    </w:pPr>
  </w:style>
  <w:style w:type="paragraph" w:customStyle="1" w:styleId="pdq2pgselectionanchorcontainer">
    <w:name w:val="pdq2pg_selectionanchorcontainer"/>
    <w:basedOn w:val="Normal"/>
    <w:rsid w:val="00C455F0"/>
    <w:pPr>
      <w:spacing w:before="100" w:beforeAutospacing="1" w:after="100" w:afterAutospacing="1"/>
    </w:pPr>
    <w:rPr>
      <w:rFonts w:eastAsia="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6</Pages>
  <Words>1562</Words>
  <Characters>8905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Abera</dc:creator>
  <cp:lastModifiedBy>Asfaw 2024</cp:lastModifiedBy>
  <cp:revision>49</cp:revision>
  <dcterms:created xsi:type="dcterms:W3CDTF">2026-07-13T10:09:00Z</dcterms:created>
  <dcterms:modified xsi:type="dcterms:W3CDTF">2026-07-14T05:35:00Z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eyJoZGlkIjoiOGE3YjhmODQ5NzA2YjIxNWZhYjg0MjQ4ZDM2ZDY0MTIifQ==</vt:lpwstr>
  </property>
  <property fmtid="{D5CDD505-2E9C-101B-9397-08002B2CF9AE}" pid="3" name="KSOProductBuildVer">
    <vt:lpwstr>1033-12.1.0.25862</vt:lpwstr>
  </property>
  <property fmtid="{D5CDD505-2E9C-101B-9397-08002B2CF9AE}" pid="4" name="ICV">
    <vt:lpwstr>5DCCF5FF78C74E06AC40AF95D94BB8E4_12</vt:lpwstr>
  </property>
  <property fmtid="{D5CDD505-2E9C-101B-9397-08002B2CF9AE}" pid="5" name="GrammarlyDocumentId">
    <vt:lpwstr>6a5475a4-7510-4240-b255-e968730b0873</vt:lpwstr>
  </property>
</Properties>
</file>